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1200"/>
      </w:pPr>
      <w:r>
        <w:rPr>
          <w:sz w:val="22"/>
          <w:szCs w:val="22"/>
        </w:rPr>
        <w:t xml:space="preserve"/>
      </w:r>
    </w:p>
    <w:p>
      <w:pPr>
        <w:jc w:val="center"/>
      </w:pPr>
      <w:r>
        <w:rPr>
          <w:rFonts w:ascii="Arial" w:cs="Arial" w:eastAsia="Arial" w:hAnsi="Arial"/>
          <w:b/>
          <w:bCs/>
          <w:color w:val="1E3A5F"/>
          <w:sz w:val="52"/>
          <w:szCs w:val="52"/>
        </w:rPr>
        <w:t xml:space="preserve">PRE-EARNINGS MOMENTUM STRATEGY</w:t>
      </w:r>
    </w:p>
    <w:p>
      <w:pPr>
        <w:spacing w:after="160" w:before="160"/>
        <w:jc w:val="center"/>
      </w:pPr>
      <w:r>
        <w:rPr>
          <w:rFonts w:ascii="Arial" w:cs="Arial" w:eastAsia="Arial" w:hAnsi="Arial"/>
          <w:color w:val="2E5F8A"/>
          <w:sz w:val="30"/>
          <w:szCs w:val="30"/>
        </w:rPr>
        <w:t xml:space="preserve">Trading Tool Feature Specification</w:t>
      </w:r>
    </w:p>
    <w:p>
      <w:pPr>
        <w:pBdr>
          <w:bottom w:val="single" w:color="1E3A5F" w:sz="8" w:space="1"/>
        </w:pBdr>
        <w:spacing w:after="480" w:before="80"/>
        <w:jc w:val="center"/>
      </w:pPr>
      <w:r>
        <w:rPr>
          <w:rFonts w:ascii="Arial" w:cs="Arial" w:eastAsia="Arial" w:hAnsi="Arial"/>
          <w:i/>
          <w:iCs/>
          <w:color w:val="666666"/>
          <w:sz w:val="22"/>
          <w:szCs w:val="22"/>
        </w:rPr>
        <w:t xml:space="preserve">Buy the Rumour • Capture Accumulation • Sell the Fact</w:t>
      </w:r>
    </w:p>
    <w:p>
      <w:pPr>
        <w:jc w:val="center"/>
      </w:pPr>
      <w:r>
        <w:rPr>
          <w:rFonts w:ascii="Arial" w:cs="Arial" w:eastAsia="Arial" w:hAnsi="Arial"/>
          <w:color w:val="888888"/>
          <w:sz w:val="20"/>
          <w:szCs w:val="20"/>
        </w:rPr>
        <w:t xml:space="preserve">Version 1.0  •  April 2026</w:t>
      </w:r>
    </w:p>
    <w:p>
      <w:pPr>
        <w:spacing w:after="80" w:before="80"/>
      </w:pPr>
      <w:r>
        <w:t xml:space="preserve"/>
      </w:r>
    </w:p>
    <w:p>
      <w:pPr>
        <w:spacing w:after="80" w:before="80"/>
      </w:pPr>
      <w:r>
        <w:t xml:space="preserve"/>
      </w:r>
    </w:p>
    <w:p>
      <w:r>
        <w:br w:type="page"/>
      </w:r>
    </w:p>
    <w:p>
      <w:pPr>
        <w:pStyle w:val="Heading1"/>
        <w:pBdr>
          <w:bottom w:val="single" w:color="1E3A5F" w:sz="6" w:space="1"/>
        </w:pBdr>
        <w:spacing w:after="200" w:before="400"/>
      </w:pPr>
      <w:r>
        <w:rPr>
          <w:rFonts w:ascii="Arial" w:cs="Arial" w:eastAsia="Arial" w:hAnsi="Arial"/>
          <w:b/>
          <w:bCs/>
          <w:color w:val="1E3A5F"/>
          <w:sz w:val="34"/>
          <w:szCs w:val="34"/>
        </w:rPr>
        <w:t xml:space="preserve">1. Problem Statement</w:t>
      </w:r>
    </w:p>
    <w:p>
      <w:pPr>
        <w:spacing w:after="80" w:before="80"/>
      </w:pPr>
      <w:r>
        <w:t xml:space="preserve"/>
      </w:r>
    </w:p>
    <w:p>
      <w:pPr>
        <w:pStyle w:val="Heading2"/>
        <w:spacing w:after="160" w:before="300"/>
      </w:pPr>
      <w:r>
        <w:rPr>
          <w:rFonts w:ascii="Arial" w:cs="Arial" w:eastAsia="Arial" w:hAnsi="Arial"/>
          <w:b/>
          <w:bCs/>
          <w:color w:val="2E5F8A"/>
          <w:sz w:val="28"/>
          <w:szCs w:val="28"/>
        </w:rPr>
        <w:t xml:space="preserve">1.1 The Opportunity</w:t>
      </w:r>
    </w:p>
    <w:p>
      <w:pPr>
        <w:spacing w:after="140" w:before="80"/>
        <w:jc w:val="both"/>
      </w:pPr>
      <w:r>
        <w:rPr>
          <w:rFonts w:ascii="Arial" w:cs="Arial" w:eastAsia="Arial" w:hAnsi="Arial"/>
          <w:sz w:val="22"/>
          <w:szCs w:val="22"/>
        </w:rPr>
        <w:t xml:space="preserve">In Indian equity markets (NSE/BSE), a consistent and repeatable price pattern has been observed across a watchlist of 30–40 carefully selected stocks. In the January–February 2026 quarter, </w:t>
      </w:r>
      <w:r>
        <w:rPr>
          <w:rFonts w:ascii="Arial" w:cs="Arial" w:eastAsia="Arial" w:hAnsi="Arial"/>
          <w:b/>
          <w:bCs/>
          <w:sz w:val="22"/>
          <w:szCs w:val="22"/>
        </w:rPr>
        <w:t xml:space="preserve">every stock that announced quarterly results either on the announcement day or one day prior experienced a price jump of approximately 10%.</w:t>
      </w:r>
      <w:r>
        <w:rPr>
          <w:rFonts w:ascii="Arial" w:cs="Arial" w:eastAsia="Arial" w:hAnsi="Arial"/>
          <w:sz w:val="22"/>
          <w:szCs w:val="22"/>
        </w:rPr>
        <w:t xml:space="preserve"> This is not coincidental — it is a structural feature of how institutional capital positions itself ahead of known catalyst events.</w:t>
      </w:r>
    </w:p>
    <w:p>
      <w:pPr>
        <w:spacing w:after="80" w:before="80"/>
      </w:pPr>
      <w:r>
        <w:t xml:space="preserve"/>
      </w:r>
    </w:p>
    <w:p>
      <w:pPr>
        <w:pStyle w:val="Heading2"/>
        <w:spacing w:after="160" w:before="300"/>
      </w:pPr>
      <w:r>
        <w:rPr>
          <w:rFonts w:ascii="Arial" w:cs="Arial" w:eastAsia="Arial" w:hAnsi="Arial"/>
          <w:b/>
          <w:bCs/>
          <w:color w:val="2E5F8A"/>
          <w:sz w:val="28"/>
          <w:szCs w:val="28"/>
        </w:rPr>
        <w:t xml:space="preserve">1.2 The Core Problem</w:t>
      </w:r>
    </w:p>
    <w:p>
      <w:pPr>
        <w:spacing w:after="120" w:before="80"/>
        <w:jc w:val="both"/>
      </w:pPr>
      <w:r>
        <w:rPr>
          <w:rFonts w:ascii="Arial" w:cs="Arial" w:eastAsia="Arial" w:hAnsi="Arial"/>
          <w:sz w:val="22"/>
          <w:szCs w:val="22"/>
        </w:rPr>
        <w:t xml:space="preserve">The challenge is not identifying that this phenomenon exists — it is clearly observable. The problem is threefold:</w:t>
      </w:r>
    </w:p>
    <w:p>
      <w:pPr>
        <w:spacing w:after="80" w:before="80"/>
      </w:pPr>
      <w:r>
        <w:t xml:space="preserve"/>
      </w:r>
    </w:p>
    <w:p>
      <w:pPr>
        <w:pStyle w:val="ListParagraph"/>
        <w:numPr>
          <w:ilvl w:val="0"/>
          <w:numId w:val="2"/>
        </w:numPr>
        <w:spacing w:after="80" w:before="60"/>
      </w:pPr>
      <w:r>
        <w:rPr>
          <w:rFonts w:ascii="Arial" w:cs="Arial" w:eastAsia="Arial" w:hAnsi="Arial"/>
          <w:b/>
          <w:bCs/>
          <w:sz w:val="22"/>
          <w:szCs w:val="22"/>
        </w:rPr>
        <w:t xml:space="preserve">Timing imprecision: </w:t>
      </w:r>
      <w:r>
        <w:rPr>
          <w:rFonts w:ascii="Arial" w:cs="Arial" w:eastAsia="Arial" w:hAnsi="Arial"/>
          <w:sz w:val="22"/>
          <w:szCs w:val="22"/>
        </w:rPr>
        <w:t xml:space="preserve">Retail investors typically attempt to buy 1–2 days before the results announcement. However, institutional accumulation often begins 1–3 weeks earlier, meaning late entrants miss the best risk-reward entry point and inherit all the downside if the rumour is already fully priced in.</w:t>
      </w:r>
    </w:p>
    <w:p>
      <w:pPr>
        <w:pStyle w:val="ListParagraph"/>
        <w:numPr>
          <w:ilvl w:val="0"/>
          <w:numId w:val="2"/>
        </w:numPr>
        <w:spacing w:after="80" w:before="60"/>
      </w:pPr>
      <w:r>
        <w:rPr>
          <w:rFonts w:ascii="Arial" w:cs="Arial" w:eastAsia="Arial" w:hAnsi="Arial"/>
          <w:b/>
          <w:bCs/>
          <w:sz w:val="22"/>
          <w:szCs w:val="22"/>
        </w:rPr>
        <w:t xml:space="preserve">Signal noise: </w:t>
      </w:r>
      <w:r>
        <w:rPr>
          <w:rFonts w:ascii="Arial" w:cs="Arial" w:eastAsia="Arial" w:hAnsi="Arial"/>
          <w:sz w:val="22"/>
          <w:szCs w:val="22"/>
        </w:rPr>
        <w:t xml:space="preserve">Not every pre-earnings dip is an institutional accumulation signal. Some dips are caused by broader market selloffs, sector rotation, or negative company news. Entering on a false signal leads to capital erosion.</w:t>
      </w:r>
    </w:p>
    <w:p>
      <w:pPr>
        <w:pStyle w:val="ListParagraph"/>
        <w:numPr>
          <w:ilvl w:val="0"/>
          <w:numId w:val="2"/>
        </w:numPr>
        <w:spacing w:after="80" w:before="60"/>
      </w:pPr>
      <w:r>
        <w:rPr>
          <w:rFonts w:ascii="Arial" w:cs="Arial" w:eastAsia="Arial" w:hAnsi="Arial"/>
          <w:b/>
          <w:bCs/>
          <w:sz w:val="22"/>
          <w:szCs w:val="22"/>
        </w:rPr>
        <w:t xml:space="preserve">Exit discipline: </w:t>
      </w:r>
      <w:r>
        <w:rPr>
          <w:rFonts w:ascii="Arial" w:cs="Arial" w:eastAsia="Arial" w:hAnsi="Arial"/>
          <w:sz w:val="22"/>
          <w:szCs w:val="22"/>
        </w:rPr>
        <w:t xml:space="preserve">Even when the entry is correct, most retail participants fail to exit at the right time — they either sell too early (missing the post-announcement jump) or hold too long (turning a momentum trade into a fundamental bet and suffering the ‘sell on fact’ reversal).</w:t>
      </w:r>
    </w:p>
    <w:p>
      <w:pPr>
        <w:spacing w:after="80" w:before="80"/>
      </w:pPr>
      <w:r>
        <w:t xml:space="preserve"/>
      </w:r>
    </w:p>
    <w:p>
      <w:pPr>
        <w:pStyle w:val="Heading2"/>
        <w:spacing w:after="160" w:before="300"/>
      </w:pPr>
      <w:r>
        <w:rPr>
          <w:rFonts w:ascii="Arial" w:cs="Arial" w:eastAsia="Arial" w:hAnsi="Arial"/>
          <w:b/>
          <w:bCs/>
          <w:color w:val="2E5F8A"/>
          <w:sz w:val="28"/>
          <w:szCs w:val="28"/>
        </w:rPr>
        <w:t xml:space="preserve">1.3 The Gap in Current Tools</w:t>
      </w:r>
    </w:p>
    <w:p>
      <w:pPr>
        <w:spacing w:after="120" w:before="80"/>
        <w:jc w:val="both"/>
      </w:pPr>
      <w:r>
        <w:rPr>
          <w:rFonts w:ascii="Arial" w:cs="Arial" w:eastAsia="Arial" w:hAnsi="Arial"/>
          <w:sz w:val="22"/>
          <w:szCs w:val="22"/>
        </w:rPr>
        <w:t xml:space="preserve">Existing trading platforms provide raw RSI, volume, and earnings calendar data but offer no integrated workflow that:</w:t>
      </w:r>
    </w:p>
    <w:p>
      <w:pPr>
        <w:pStyle w:val="ListParagraph"/>
        <w:numPr>
          <w:ilvl w:val="0"/>
          <w:numId w:val="2"/>
        </w:numPr>
        <w:spacing w:after="80" w:before="60"/>
      </w:pPr>
      <w:r>
        <w:rPr>
          <w:rFonts w:ascii="Arial" w:cs="Arial" w:eastAsia="Arial" w:hAnsi="Arial"/>
          <w:sz w:val="22"/>
          <w:szCs w:val="22"/>
        </w:rPr>
        <w:t xml:space="preserve">Correlates earnings announcement dates with pre-announcement technical signals</w:t>
      </w:r>
    </w:p>
    <w:p>
      <w:pPr>
        <w:pStyle w:val="ListParagraph"/>
        <w:numPr>
          <w:ilvl w:val="0"/>
          <w:numId w:val="2"/>
        </w:numPr>
        <w:spacing w:after="80" w:before="60"/>
      </w:pPr>
      <w:r>
        <w:rPr>
          <w:rFonts w:ascii="Arial" w:cs="Arial" w:eastAsia="Arial" w:hAnsi="Arial"/>
          <w:sz w:val="22"/>
          <w:szCs w:val="22"/>
        </w:rPr>
        <w:t xml:space="preserve">Distinguishes institutional accumulation from ordinary price dips</w:t>
      </w:r>
    </w:p>
    <w:p>
      <w:pPr>
        <w:pStyle w:val="ListParagraph"/>
        <w:numPr>
          <w:ilvl w:val="0"/>
          <w:numId w:val="2"/>
        </w:numPr>
        <w:spacing w:after="80" w:before="60"/>
      </w:pPr>
      <w:r>
        <w:rPr>
          <w:rFonts w:ascii="Arial" w:cs="Arial" w:eastAsia="Arial" w:hAnsi="Arial"/>
          <w:sz w:val="22"/>
          <w:szCs w:val="22"/>
        </w:rPr>
        <w:t xml:space="preserve">Manages entries and exits systematically using a rule-based state machine</w:t>
      </w:r>
    </w:p>
    <w:p>
      <w:pPr>
        <w:pStyle w:val="ListParagraph"/>
        <w:numPr>
          <w:ilvl w:val="0"/>
          <w:numId w:val="2"/>
        </w:numPr>
        <w:spacing w:after="80" w:before="60"/>
      </w:pPr>
      <w:r>
        <w:rPr>
          <w:rFonts w:ascii="Arial" w:cs="Arial" w:eastAsia="Arial" w:hAnsi="Arial"/>
          <w:sz w:val="22"/>
          <w:szCs w:val="22"/>
        </w:rPr>
        <w:t xml:space="preserve">Filters out false signals using multi-layer confirmation logic</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GOAL</w:t>
            </w:r>
          </w:p>
        </w:tc>
        <w:tc>
          <w:tcPr>
            <w:tcW w:type="dxa" w:w="8860"/>
            <w:tcBorders>
              <w:top w:val="single" w:color="CCCCCC" w:sz="1"/>
              <w:left w:val="single" w:color="CCCCCC" w:sz="1"/>
              <w:bottom w:val="single" w:color="CCCCCC" w:sz="1"/>
              <w:right w:val="single" w:color="CCCCCC" w:sz="1"/>
            </w:tcBorders>
            <w:shd w:fill="E8F0FA" w:val="clear"/>
            <w:tcMar>
              <w:top w:type="dxa" w:w="100"/>
              <w:left w:type="dxa" w:w="180"/>
              <w:bottom w:type="dxa" w:w="100"/>
              <w:right w:type="dxa" w:w="120"/>
            </w:tcMar>
          </w:tcPr>
          <w:p>
            <w:r>
              <w:rPr>
                <w:rFonts w:ascii="Arial" w:cs="Arial" w:eastAsia="Arial" w:hAnsi="Arial"/>
                <w:i/>
                <w:iCs/>
                <w:sz w:val="20"/>
                <w:szCs w:val="20"/>
              </w:rPr>
              <w:t xml:space="preserve">Build a custom feature within the personal trading tool that automates the detection, entry, management, and exit of pre-earnings momentum trades across a curated watchlist.</w:t>
            </w:r>
          </w:p>
        </w:tc>
      </w:tr>
    </w:tbl>
    <w:p>
      <w:pPr>
        <w:spacing w:after="80" w:before="80"/>
      </w:pPr>
      <w:r>
        <w:t xml:space="preserve"/>
      </w:r>
    </w:p>
    <w:p>
      <w:r>
        <w:br w:type="page"/>
      </w:r>
    </w:p>
    <w:p>
      <w:pPr>
        <w:pStyle w:val="Heading1"/>
        <w:pBdr>
          <w:bottom w:val="single" w:color="1E3A5F" w:sz="6" w:space="1"/>
        </w:pBdr>
        <w:spacing w:after="200" w:before="400"/>
      </w:pPr>
      <w:r>
        <w:rPr>
          <w:rFonts w:ascii="Arial" w:cs="Arial" w:eastAsia="Arial" w:hAnsi="Arial"/>
          <w:b/>
          <w:bCs/>
          <w:color w:val="1E3A5F"/>
          <w:sz w:val="34"/>
          <w:szCs w:val="34"/>
        </w:rPr>
        <w:t xml:space="preserve">2. The Intuition</w:t>
      </w:r>
    </w:p>
    <w:p>
      <w:pPr>
        <w:spacing w:after="80" w:before="80"/>
      </w:pPr>
      <w:r>
        <w:t xml:space="preserve"/>
      </w:r>
    </w:p>
    <w:p>
      <w:pPr>
        <w:pStyle w:val="Heading2"/>
        <w:spacing w:after="160" w:before="300"/>
      </w:pPr>
      <w:r>
        <w:rPr>
          <w:rFonts w:ascii="Arial" w:cs="Arial" w:eastAsia="Arial" w:hAnsi="Arial"/>
          <w:b/>
          <w:bCs/>
          <w:color w:val="2E5F8A"/>
          <w:sz w:val="28"/>
          <w:szCs w:val="28"/>
        </w:rPr>
        <w:t xml:space="preserve">2.1 Buy the Rumour, Sell the Fact</w:t>
      </w:r>
    </w:p>
    <w:p>
      <w:pPr>
        <w:spacing w:after="120" w:before="80"/>
        <w:jc w:val="both"/>
      </w:pPr>
      <w:r>
        <w:rPr>
          <w:rFonts w:ascii="Arial" w:cs="Arial" w:eastAsia="Arial" w:hAnsi="Arial"/>
          <w:sz w:val="22"/>
          <w:szCs w:val="22"/>
        </w:rPr>
        <w:t xml:space="preserve">Financial markets are forward-looking mechanisms. Prices do not reflect what has happened; they reflect what participants expect to happen. This gives rise to the classic principle: Buy the Rumour, Sell the Fact.</w:t>
      </w:r>
    </w:p>
    <w:p>
      <w:pPr>
        <w:spacing w:after="140" w:before="80"/>
        <w:jc w:val="both"/>
      </w:pPr>
      <w:r>
        <w:rPr>
          <w:rFonts w:ascii="Arial" w:cs="Arial" w:eastAsia="Arial" w:hAnsi="Arial"/>
          <w:sz w:val="22"/>
          <w:szCs w:val="22"/>
        </w:rPr>
        <w:t xml:space="preserve">When a fundamentally strong company is approaching its quarterly results announcement, </w:t>
      </w:r>
      <w:r>
        <w:rPr>
          <w:rFonts w:ascii="Arial" w:cs="Arial" w:eastAsia="Arial" w:hAnsi="Arial"/>
          <w:b/>
          <w:bCs/>
          <w:sz w:val="22"/>
          <w:szCs w:val="22"/>
        </w:rPr>
        <w:t xml:space="preserve">informed market participants begin positioning themselves before the public data is released.</w:t>
      </w:r>
      <w:r>
        <w:rPr>
          <w:rFonts w:ascii="Arial" w:cs="Arial" w:eastAsia="Arial" w:hAnsi="Arial"/>
          <w:sz w:val="22"/>
          <w:szCs w:val="22"/>
        </w:rPr>
        <w:t xml:space="preserve"> The ‘rumour’ in this context is not insider information — it is informed speculation derived from channel checks, sector tailwinds, and alternative data that institutional analysts have access to but retail investors do not.</w:t>
      </w:r>
    </w:p>
    <w:p>
      <w:pPr>
        <w:spacing w:after="120" w:before="80"/>
        <w:jc w:val="both"/>
      </w:pPr>
      <w:r>
        <w:rPr>
          <w:rFonts w:ascii="Arial" w:cs="Arial" w:eastAsia="Arial" w:hAnsi="Arial"/>
          <w:sz w:val="22"/>
          <w:szCs w:val="22"/>
        </w:rPr>
        <w:t xml:space="preserve">Once the results are officially announced and the news is public, the catalyst is exhausted. There are no new buyers to push the price higher — and in many cases, profit-taking begins immediately. This is the ‘sell the fact’ moment.</w:t>
      </w:r>
    </w:p>
    <w:p>
      <w:pPr>
        <w:spacing w:after="80" w:before="80"/>
      </w:pPr>
      <w:r>
        <w:t xml:space="preserve"/>
      </w:r>
    </w:p>
    <w:p>
      <w:pPr>
        <w:pStyle w:val="Heading2"/>
        <w:spacing w:after="160" w:before="300"/>
      </w:pPr>
      <w:r>
        <w:rPr>
          <w:rFonts w:ascii="Arial" w:cs="Arial" w:eastAsia="Arial" w:hAnsi="Arial"/>
          <w:b/>
          <w:bCs/>
          <w:color w:val="2E5F8A"/>
          <w:sz w:val="28"/>
          <w:szCs w:val="28"/>
        </w:rPr>
        <w:t xml:space="preserve">2.2 The Institutional Accumulation Window</w:t>
      </w:r>
    </w:p>
    <w:p>
      <w:pPr>
        <w:spacing w:after="120" w:before="80"/>
        <w:jc w:val="both"/>
      </w:pPr>
      <w:r>
        <w:rPr>
          <w:rFonts w:ascii="Arial" w:cs="Arial" w:eastAsia="Arial" w:hAnsi="Arial"/>
          <w:sz w:val="22"/>
          <w:szCs w:val="22"/>
        </w:rPr>
        <w:t xml:space="preserve">The most critical insight underpinning this strategy is understanding how institutions buy. Unlike retail investors who can place a single market order, large institutional players (FIIs, DIIs, mutual funds) cannot buy in bulk without moving the price against themselves. They must accumulate gradually over time.</w:t>
      </w:r>
    </w:p>
    <w:p>
      <w:pPr>
        <w:spacing w:after="120" w:before="80"/>
        <w:jc w:val="both"/>
      </w:pPr>
      <w:r>
        <w:rPr>
          <w:rFonts w:ascii="Arial" w:cs="Arial" w:eastAsia="Arial" w:hAnsi="Arial"/>
          <w:sz w:val="22"/>
          <w:szCs w:val="22"/>
        </w:rPr>
        <w:t xml:space="preserve">This creates a distinctive and detectable fingerprint in the market data: a multi-week window, typically 1–3 weeks before the earnings announcement, during which:</w:t>
      </w:r>
    </w:p>
    <w:p>
      <w:pPr>
        <w:pStyle w:val="ListParagraph"/>
        <w:numPr>
          <w:ilvl w:val="0"/>
          <w:numId w:val="2"/>
        </w:numPr>
        <w:spacing w:after="80" w:before="60"/>
      </w:pPr>
      <w:r>
        <w:rPr>
          <w:rFonts w:ascii="Arial" w:cs="Arial" w:eastAsia="Arial" w:hAnsi="Arial"/>
          <w:b/>
          <w:bCs/>
          <w:sz w:val="22"/>
          <w:szCs w:val="22"/>
        </w:rPr>
        <w:t xml:space="preserve">Price dips or stays flat </w:t>
      </w:r>
      <w:r>
        <w:rPr>
          <w:rFonts w:ascii="Arial" w:cs="Arial" w:eastAsia="Arial" w:hAnsi="Arial"/>
          <w:sz w:val="22"/>
          <w:szCs w:val="22"/>
        </w:rPr>
        <w:t xml:space="preserve">without any news-driven reason — the institution is absorbing sellers.</w:t>
      </w:r>
    </w:p>
    <w:p>
      <w:pPr>
        <w:pStyle w:val="ListParagraph"/>
        <w:numPr>
          <w:ilvl w:val="0"/>
          <w:numId w:val="2"/>
        </w:numPr>
        <w:spacing w:after="80" w:before="60"/>
      </w:pPr>
      <w:r>
        <w:rPr>
          <w:rFonts w:ascii="Arial" w:cs="Arial" w:eastAsia="Arial" w:hAnsi="Arial"/>
          <w:b/>
          <w:bCs/>
          <w:sz w:val="22"/>
          <w:szCs w:val="22"/>
        </w:rPr>
        <w:t xml:space="preserve">Volume is anomalously high </w:t>
      </w:r>
      <w:r>
        <w:rPr>
          <w:rFonts w:ascii="Arial" w:cs="Arial" w:eastAsia="Arial" w:hAnsi="Arial"/>
          <w:sz w:val="22"/>
          <w:szCs w:val="22"/>
        </w:rPr>
        <w:t xml:space="preserve">relative to the 20–90 day baseline — large orders are being filled.</w:t>
      </w:r>
    </w:p>
    <w:p>
      <w:pPr>
        <w:pStyle w:val="ListParagraph"/>
        <w:numPr>
          <w:ilvl w:val="0"/>
          <w:numId w:val="2"/>
        </w:numPr>
        <w:spacing w:after="80" w:before="60"/>
      </w:pPr>
      <w:r>
        <w:rPr>
          <w:rFonts w:ascii="Arial" w:cs="Arial" w:eastAsia="Arial" w:hAnsi="Arial"/>
          <w:b/>
          <w:bCs/>
          <w:sz w:val="22"/>
          <w:szCs w:val="22"/>
        </w:rPr>
        <w:t xml:space="preserve">RSI hits a local low </w:t>
      </w:r>
      <w:r>
        <w:rPr>
          <w:rFonts w:ascii="Arial" w:cs="Arial" w:eastAsia="Arial" w:hAnsi="Arial"/>
          <w:sz w:val="22"/>
          <w:szCs w:val="22"/>
        </w:rPr>
        <w:t xml:space="preserve">not because the stock is fundamentally weak, but because selling pressure is being deliberately absorbed before the reversal.</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KEY INSIGHT</w:t>
            </w:r>
          </w:p>
        </w:tc>
        <w:tc>
          <w:tcPr>
            <w:tcW w:type="dxa" w:w="8860"/>
            <w:tcBorders>
              <w:top w:val="single" w:color="CCCCCC" w:sz="1"/>
              <w:left w:val="single" w:color="CCCCCC" w:sz="1"/>
              <w:bottom w:val="single" w:color="CCCCCC" w:sz="1"/>
              <w:right w:val="single" w:color="CCCCCC" w:sz="1"/>
            </w:tcBorders>
            <w:shd w:fill="E8F0FA" w:val="clear"/>
            <w:tcMar>
              <w:top w:type="dxa" w:w="100"/>
              <w:left w:type="dxa" w:w="180"/>
              <w:bottom w:type="dxa" w:w="100"/>
              <w:right w:type="dxa" w:w="120"/>
            </w:tcMar>
          </w:tcPr>
          <w:p>
            <w:r>
              <w:rPr>
                <w:rFonts w:ascii="Arial" w:cs="Arial" w:eastAsia="Arial" w:hAnsi="Arial"/>
                <w:i/>
                <w:iCs/>
                <w:sz w:val="20"/>
                <w:szCs w:val="20"/>
              </w:rPr>
              <w:t xml:space="preserve">The RSI low in the pre-earnings window is often caused by institutional buying, not despite it. They suppress the price while loading positions.</w:t>
            </w:r>
          </w:p>
        </w:tc>
      </w:tr>
    </w:tbl>
    <w:p>
      <w:pPr>
        <w:spacing w:after="80" w:before="80"/>
      </w:pPr>
      <w:r>
        <w:t xml:space="preserve"/>
      </w:r>
    </w:p>
    <w:p>
      <w:pPr>
        <w:pStyle w:val="Heading2"/>
        <w:spacing w:after="160" w:before="300"/>
      </w:pPr>
      <w:r>
        <w:rPr>
          <w:rFonts w:ascii="Arial" w:cs="Arial" w:eastAsia="Arial" w:hAnsi="Arial"/>
          <w:b/>
          <w:bCs/>
          <w:color w:val="2E5F8A"/>
          <w:sz w:val="28"/>
          <w:szCs w:val="28"/>
        </w:rPr>
        <w:t xml:space="preserve">2.3 The Wyckoff Accumulation Parallel</w:t>
      </w:r>
    </w:p>
    <w:p>
      <w:pPr>
        <w:spacing w:after="120" w:before="80"/>
        <w:jc w:val="both"/>
      </w:pPr>
      <w:r>
        <w:rPr>
          <w:rFonts w:ascii="Arial" w:cs="Arial" w:eastAsia="Arial" w:hAnsi="Arial"/>
          <w:sz w:val="22"/>
          <w:szCs w:val="22"/>
        </w:rPr>
        <w:t xml:space="preserve">This pattern directly mirrors what Richard Wyckoff described as the Accumulation Phase in his market cycle theory. In Wyckoff terms: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Wyckoff Phase</w:t>
            </w:r>
          </w:p>
        </w:tc>
        <w:tc>
          <w:tcPr>
            <w:tcW w:type="dxa" w:w="320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What It Looks Like</w:t>
            </w:r>
          </w:p>
        </w:tc>
        <w:tc>
          <w:tcPr>
            <w:tcW w:type="dxa" w:w="396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What It Means in This Strategy</w:t>
            </w:r>
          </w:p>
        </w:tc>
      </w:tr>
      <w:tr>
        <w:tc>
          <w:tcPr>
            <w:tcW w:type="dxa" w:w="22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Preliminary Support (PS)</w:t>
            </w:r>
          </w:p>
        </w:tc>
        <w:tc>
          <w:tcPr>
            <w:tcW w:type="dxa" w:w="32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First high-volume bounce after a decline</w:t>
            </w:r>
          </w:p>
        </w:tc>
        <w:tc>
          <w:tcPr>
            <w:tcW w:type="dxa" w:w="39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First sign institutions are interested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Selling Climax (SC)</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Heavy volume, sharp price drop</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Weak hands shaken out; institutions absorb</w:t>
            </w:r>
          </w:p>
        </w:tc>
      </w:tr>
      <w:tr>
        <w:tc>
          <w:tcPr>
            <w:tcW w:type="dxa" w:w="22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Automatic Rally (AR)</w:t>
            </w:r>
          </w:p>
        </w:tc>
        <w:tc>
          <w:tcPr>
            <w:tcW w:type="dxa" w:w="32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Price bounces with lower volume</w:t>
            </w:r>
          </w:p>
        </w:tc>
        <w:tc>
          <w:tcPr>
            <w:tcW w:type="dxa" w:w="39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Short covering; institutions hold positions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Secondary Test (ST)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Price retests SC low on low volume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RSI hits local low — your entry signal</w:t>
            </w:r>
          </w:p>
        </w:tc>
      </w:tr>
      <w:tr>
        <w:tc>
          <w:tcPr>
            <w:tcW w:type="dxa" w:w="22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Sign of Strength (SOS)</w:t>
            </w:r>
          </w:p>
        </w:tc>
        <w:tc>
          <w:tcPr>
            <w:tcW w:type="dxa" w:w="32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Price breaks above trading range</w:t>
            </w:r>
          </w:p>
        </w:tc>
        <w:tc>
          <w:tcPr>
            <w:tcW w:type="dxa" w:w="39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The pre-earnings 10% jump you observed</w:t>
            </w:r>
          </w:p>
        </w:tc>
      </w:tr>
    </w:tbl>
    <w:p>
      <w:pPr>
        <w:spacing w:after="80" w:before="80"/>
      </w:pPr>
      <w:r>
        <w:t xml:space="preserve"/>
      </w:r>
    </w:p>
    <w:p>
      <w:pPr>
        <w:pStyle w:val="Heading2"/>
        <w:spacing w:after="160" w:before="300"/>
      </w:pPr>
      <w:r>
        <w:rPr>
          <w:rFonts w:ascii="Arial" w:cs="Arial" w:eastAsia="Arial" w:hAnsi="Arial"/>
          <w:b/>
          <w:bCs/>
          <w:color w:val="2E5F8A"/>
          <w:sz w:val="28"/>
          <w:szCs w:val="28"/>
        </w:rPr>
        <w:t xml:space="preserve">2.4 The Remora Strategy</w:t>
      </w:r>
    </w:p>
    <w:p>
      <w:pPr>
        <w:spacing w:after="140" w:before="80"/>
        <w:jc w:val="both"/>
      </w:pPr>
      <w:r>
        <w:rPr>
          <w:rFonts w:ascii="Arial" w:cs="Arial" w:eastAsia="Arial" w:hAnsi="Arial"/>
          <w:sz w:val="22"/>
          <w:szCs w:val="22"/>
        </w:rPr>
        <w:t xml:space="preserve">The strategy is named after the Remora fish, which attaches itself to a larger predator (the shark) and feeds on its leftovers. In trading terms, </w:t>
      </w:r>
      <w:r>
        <w:rPr>
          <w:rFonts w:ascii="Arial" w:cs="Arial" w:eastAsia="Arial" w:hAnsi="Arial"/>
          <w:b/>
          <w:bCs/>
          <w:sz w:val="22"/>
          <w:szCs w:val="22"/>
        </w:rPr>
        <w:t xml:space="preserve">you are not competing with the institution — you are identifying where it is feeding and positioning yourself alongside it.</w:t>
      </w:r>
    </w:p>
    <w:p>
      <w:pPr>
        <w:spacing w:after="120" w:before="80"/>
        <w:jc w:val="both"/>
      </w:pPr>
      <w:r>
        <w:rPr>
          <w:rFonts w:ascii="Arial" w:cs="Arial" w:eastAsia="Arial" w:hAnsi="Arial"/>
          <w:sz w:val="22"/>
          <w:szCs w:val="22"/>
        </w:rPr>
        <w:t xml:space="preserve">The Remora does not need to be as powerful as the shark. It only needs to detect the shark's presence and move in the same direction. In market terms, this means:</w:t>
      </w:r>
    </w:p>
    <w:p>
      <w:pPr>
        <w:pStyle w:val="ListParagraph"/>
        <w:numPr>
          <w:ilvl w:val="0"/>
          <w:numId w:val="2"/>
        </w:numPr>
        <w:spacing w:after="80" w:before="60"/>
      </w:pPr>
      <w:r>
        <w:rPr>
          <w:rFonts w:ascii="Arial" w:cs="Arial" w:eastAsia="Arial" w:hAnsi="Arial"/>
          <w:sz w:val="22"/>
          <w:szCs w:val="22"/>
        </w:rPr>
        <w:t xml:space="preserve">You do not need to know the quarterly results in advance</w:t>
      </w:r>
    </w:p>
    <w:p>
      <w:pPr>
        <w:pStyle w:val="ListParagraph"/>
        <w:numPr>
          <w:ilvl w:val="0"/>
          <w:numId w:val="2"/>
        </w:numPr>
        <w:spacing w:after="80" w:before="60"/>
      </w:pPr>
      <w:r>
        <w:rPr>
          <w:rFonts w:ascii="Arial" w:cs="Arial" w:eastAsia="Arial" w:hAnsi="Arial"/>
          <w:sz w:val="22"/>
          <w:szCs w:val="22"/>
        </w:rPr>
        <w:t xml:space="preserve">You do not need access to institutional order flow</w:t>
      </w:r>
    </w:p>
    <w:p>
      <w:pPr>
        <w:pStyle w:val="ListParagraph"/>
        <w:numPr>
          <w:ilvl w:val="0"/>
          <w:numId w:val="2"/>
        </w:numPr>
        <w:spacing w:after="80" w:before="60"/>
      </w:pPr>
      <w:r>
        <w:rPr>
          <w:rFonts w:ascii="Arial" w:cs="Arial" w:eastAsia="Arial" w:hAnsi="Arial"/>
          <w:sz w:val="22"/>
          <w:szCs w:val="22"/>
        </w:rPr>
        <w:t xml:space="preserve">You only need to detect the volume-price divergence that accumulation creates, and enter before the catalyst triggers the upward move</w:t>
      </w:r>
    </w:p>
    <w:p>
      <w:pPr>
        <w:spacing w:after="80" w:before="80"/>
      </w:pPr>
      <w:r>
        <w:t xml:space="preserve"/>
      </w:r>
    </w:p>
    <w:p>
      <w:pPr>
        <w:pStyle w:val="Heading2"/>
        <w:spacing w:after="160" w:before="300"/>
      </w:pPr>
      <w:r>
        <w:rPr>
          <w:rFonts w:ascii="Arial" w:cs="Arial" w:eastAsia="Arial" w:hAnsi="Arial"/>
          <w:b/>
          <w:bCs/>
          <w:color w:val="2E5F8A"/>
          <w:sz w:val="28"/>
          <w:szCs w:val="28"/>
        </w:rPr>
        <w:t xml:space="preserve">2.5 The Volume-Price Divergence Signal</w:t>
      </w:r>
    </w:p>
    <w:p>
      <w:pPr>
        <w:spacing w:after="120" w:before="80"/>
        <w:jc w:val="both"/>
      </w:pPr>
      <w:r>
        <w:rPr>
          <w:rFonts w:ascii="Arial" w:cs="Arial" w:eastAsia="Arial" w:hAnsi="Arial"/>
          <w:sz w:val="22"/>
          <w:szCs w:val="22"/>
        </w:rPr>
        <w:t xml:space="preserve">The most quantifiable expression of accumulation is what can be measured as Volume-Price Efficiency. The signal is present when: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160"/>
        <w:gridCol w:w="3860"/>
      </w:tblGrid>
      <w:tr>
        <w:trPr>
          <w:tblHeader/>
        </w:trPr>
        <w:tc>
          <w:tcPr>
            <w:tcW w:type="dxa" w:w="234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Metric</w:t>
            </w:r>
          </w:p>
        </w:tc>
        <w:tc>
          <w:tcPr>
            <w:tcW w:type="dxa" w:w="316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Normal Condition</w:t>
            </w:r>
          </w:p>
        </w:tc>
        <w:tc>
          <w:tcPr>
            <w:tcW w:type="dxa" w:w="386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Accumulation Signal</w:t>
            </w:r>
          </w:p>
        </w:tc>
      </w:tr>
      <w:tr>
        <w:tc>
          <w:tcPr>
            <w:tcW w:type="dxa" w:w="234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Daily Volume</w:t>
            </w:r>
          </w:p>
        </w:tc>
        <w:tc>
          <w:tcPr>
            <w:tcW w:type="dxa" w:w="31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At or below 90-day average</w:t>
            </w:r>
          </w:p>
        </w:tc>
        <w:tc>
          <w:tcPr>
            <w:tcW w:type="dxa" w:w="38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150%+ above 20-day average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Daily Price Movement (%)</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Proportional to volume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Less than 30% of baseline movement</w:t>
            </w:r>
          </w:p>
        </w:tc>
      </w:tr>
      <w:tr>
        <w:tc>
          <w:tcPr>
            <w:tcW w:type="dxa" w:w="234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RSI (14-period)</w:t>
            </w:r>
          </w:p>
        </w:tc>
        <w:tc>
          <w:tcPr>
            <w:tcW w:type="dxa" w:w="31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Trending with price</w:t>
            </w:r>
          </w:p>
        </w:tc>
        <w:tc>
          <w:tcPr>
            <w:tcW w:type="dxa" w:w="38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At multi-week low despite high volume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Market/Sector</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Correlated with stock</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Stock dips while sector/market is flat or up</w:t>
            </w:r>
          </w:p>
        </w:tc>
      </w:tr>
    </w:tbl>
    <w:p>
      <w:pPr>
        <w:spacing w:after="80" w:before="80"/>
      </w:pPr>
      <w:r>
        <w:t xml:space="preserve"/>
      </w:r>
    </w:p>
    <w:p>
      <w:pPr>
        <w:spacing w:after="120" w:before="80"/>
        <w:jc w:val="both"/>
      </w:pPr>
      <w:r>
        <w:rPr>
          <w:rFonts w:ascii="Arial" w:cs="Arial" w:eastAsia="Arial" w:hAnsi="Arial"/>
          <w:sz w:val="22"/>
          <w:szCs w:val="22"/>
        </w:rPr>
        <w:t xml:space="preserve">The divergence between high volume and suppressed price movement is the statistical fingerprint of a large buyer who is deliberately not letting the price run while they are still accumulating.</w:t>
      </w:r>
    </w:p>
    <w:p>
      <w:pPr>
        <w:spacing w:after="80" w:before="80"/>
      </w:pPr>
      <w:r>
        <w:t xml:space="preserve"/>
      </w:r>
    </w:p>
    <w:p>
      <w:pPr>
        <w:pStyle w:val="Heading2"/>
        <w:spacing w:after="160" w:before="300"/>
      </w:pPr>
      <w:r>
        <w:rPr>
          <w:rFonts w:ascii="Arial" w:cs="Arial" w:eastAsia="Arial" w:hAnsi="Arial"/>
          <w:b/>
          <w:bCs/>
          <w:color w:val="2E5F8A"/>
          <w:sz w:val="28"/>
          <w:szCs w:val="28"/>
        </w:rPr>
        <w:t xml:space="preserve">2.6 Why ‘No Reason’ Is the Key Filter</w:t>
      </w:r>
    </w:p>
    <w:p>
      <w:pPr>
        <w:spacing w:after="120" w:before="80"/>
        <w:jc w:val="both"/>
      </w:pPr>
      <w:r>
        <w:rPr>
          <w:rFonts w:ascii="Arial" w:cs="Arial" w:eastAsia="Arial" w:hAnsi="Arial"/>
          <w:sz w:val="22"/>
          <w:szCs w:val="22"/>
        </w:rPr>
        <w:t xml:space="preserve">A critical qualifier in this strategy is that the RSI dip must occur without an external reason. This eliminates a large class of false signals:</w:t>
      </w:r>
    </w:p>
    <w:p>
      <w:pPr>
        <w:spacing w:after="80" w:before="80"/>
      </w:pPr>
      <w:r>
        <w:t xml:space="preserve"/>
      </w:r>
    </w:p>
    <w:p>
      <w:pPr>
        <w:pStyle w:val="ListParagraph"/>
        <w:numPr>
          <w:ilvl w:val="0"/>
          <w:numId w:val="2"/>
        </w:numPr>
        <w:spacing w:after="80" w:before="60"/>
      </w:pPr>
      <w:r>
        <w:rPr>
          <w:rFonts w:ascii="Arial" w:cs="Arial" w:eastAsia="Arial" w:hAnsi="Arial"/>
          <w:b/>
          <w:bCs/>
          <w:sz w:val="22"/>
          <w:szCs w:val="22"/>
        </w:rPr>
        <w:t xml:space="preserve">If Nifty/Sensex fell that week: </w:t>
      </w:r>
      <w:r>
        <w:rPr>
          <w:rFonts w:ascii="Arial" w:cs="Arial" w:eastAsia="Arial" w:hAnsi="Arial"/>
          <w:sz w:val="22"/>
          <w:szCs w:val="22"/>
        </w:rPr>
        <w:t xml:space="preserve">The dip is market-driven, not accumulation. Skip.</w:t>
      </w:r>
    </w:p>
    <w:p>
      <w:pPr>
        <w:pStyle w:val="ListParagraph"/>
        <w:numPr>
          <w:ilvl w:val="0"/>
          <w:numId w:val="2"/>
        </w:numPr>
        <w:spacing w:after="80" w:before="60"/>
      </w:pPr>
      <w:r>
        <w:rPr>
          <w:rFonts w:ascii="Arial" w:cs="Arial" w:eastAsia="Arial" w:hAnsi="Arial"/>
          <w:b/>
          <w:bCs/>
          <w:sz w:val="22"/>
          <w:szCs w:val="22"/>
        </w:rPr>
        <w:t xml:space="preserve">If peers in the same sector also dipped: </w:t>
      </w:r>
      <w:r>
        <w:rPr>
          <w:rFonts w:ascii="Arial" w:cs="Arial" w:eastAsia="Arial" w:hAnsi="Arial"/>
          <w:sz w:val="22"/>
          <w:szCs w:val="22"/>
        </w:rPr>
        <w:t xml:space="preserve">This is sector rotation or macro pressure. Skip.</w:t>
      </w:r>
    </w:p>
    <w:p>
      <w:pPr>
        <w:pStyle w:val="ListParagraph"/>
        <w:numPr>
          <w:ilvl w:val="0"/>
          <w:numId w:val="2"/>
        </w:numPr>
        <w:spacing w:after="80" w:before="60"/>
      </w:pPr>
      <w:r>
        <w:rPr>
          <w:rFonts w:ascii="Arial" w:cs="Arial" w:eastAsia="Arial" w:hAnsi="Arial"/>
          <w:b/>
          <w:bCs/>
          <w:sz w:val="22"/>
          <w:szCs w:val="22"/>
        </w:rPr>
        <w:t xml:space="preserve">If there is negative corporate news: </w:t>
      </w:r>
      <w:r>
        <w:rPr>
          <w:rFonts w:ascii="Arial" w:cs="Arial" w:eastAsia="Arial" w:hAnsi="Arial"/>
          <w:sz w:val="22"/>
          <w:szCs w:val="22"/>
        </w:rPr>
        <w:t xml:space="preserve">Fundamentals may have changed. Skip.</w:t>
      </w:r>
    </w:p>
    <w:p>
      <w:pPr>
        <w:pStyle w:val="ListParagraph"/>
        <w:numPr>
          <w:ilvl w:val="0"/>
          <w:numId w:val="2"/>
        </w:numPr>
        <w:spacing w:after="80" w:before="60"/>
      </w:pPr>
      <w:r>
        <w:rPr>
          <w:rFonts w:ascii="Arial" w:cs="Arial" w:eastAsia="Arial" w:hAnsi="Arial"/>
          <w:b/>
          <w:bCs/>
          <w:sz w:val="22"/>
          <w:szCs w:val="22"/>
        </w:rPr>
        <w:t xml:space="preserve">If the stock has already rallied 8–15% in the prior 10 days: </w:t>
      </w:r>
      <w:r>
        <w:rPr>
          <w:rFonts w:ascii="Arial" w:cs="Arial" w:eastAsia="Arial" w:hAnsi="Arial"/>
          <w:sz w:val="22"/>
          <w:szCs w:val="22"/>
        </w:rPr>
        <w:t xml:space="preserve">The rumour is already priced in. Skip.</w:t>
      </w:r>
    </w:p>
    <w:p>
      <w:pPr>
        <w:spacing w:after="80" w:before="80"/>
      </w:pPr>
      <w:r>
        <w:t xml:space="preserve"/>
      </w:r>
    </w:p>
    <w:p>
      <w:pPr>
        <w:spacing w:after="120" w:before="80"/>
        <w:jc w:val="both"/>
      </w:pPr>
      <w:r>
        <w:rPr>
          <w:rFonts w:ascii="Arial" w:cs="Arial" w:eastAsia="Arial" w:hAnsi="Arial"/>
          <w:sz w:val="22"/>
          <w:szCs w:val="22"/>
        </w:rPr>
        <w:t xml:space="preserve">Only when the stock dips in isolation — while the broader market and sector are neutral or positive — is the signal considered valid. This is the most important filter in the entire system.</w:t>
      </w:r>
    </w:p>
    <w:p>
      <w:pPr>
        <w:spacing w:after="80" w:before="80"/>
      </w:pPr>
      <w:r>
        <w:t xml:space="preserve"/>
      </w:r>
    </w:p>
    <w:p>
      <w:pPr>
        <w:pStyle w:val="Heading2"/>
        <w:spacing w:after="160" w:before="300"/>
      </w:pPr>
      <w:r>
        <w:rPr>
          <w:rFonts w:ascii="Arial" w:cs="Arial" w:eastAsia="Arial" w:hAnsi="Arial"/>
          <w:b/>
          <w:bCs/>
          <w:color w:val="2E5F8A"/>
          <w:sz w:val="28"/>
          <w:szCs w:val="28"/>
        </w:rPr>
        <w:t xml:space="preserve">2.7 The Expected Outcome</w:t>
      </w:r>
    </w:p>
    <w:p>
      <w:pPr>
        <w:spacing w:after="120" w:before="80"/>
        <w:jc w:val="both"/>
      </w:pPr>
      <w:r>
        <w:rPr>
          <w:rFonts w:ascii="Arial" w:cs="Arial" w:eastAsia="Arial" w:hAnsi="Arial"/>
          <w:sz w:val="22"/>
          <w:szCs w:val="22"/>
        </w:rPr>
        <w:t xml:space="preserve">Based on historical observation across the January–February 2026 quarter on the personal watchlist, the expected outcomes when all signal conditions are met: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3960"/>
      </w:tblGrid>
      <w:tr>
        <w:trPr>
          <w:tblHeader/>
        </w:trPr>
        <w:tc>
          <w:tcPr>
            <w:tcW w:type="dxa" w:w="280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Metric</w:t>
            </w:r>
          </w:p>
        </w:tc>
        <w:tc>
          <w:tcPr>
            <w:tcW w:type="dxa" w:w="260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Expected Value</w:t>
            </w:r>
          </w:p>
        </w:tc>
        <w:tc>
          <w:tcPr>
            <w:tcW w:type="dxa" w:w="396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Success Rate</w:t>
            </w:r>
          </w:p>
        </w:tc>
        <w:tc>
          <w:tcPr>
            <w:tcW w:type="dxa" w:w="26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60–70%</w:t>
            </w:r>
          </w:p>
        </w:tc>
        <w:tc>
          <w:tcPr>
            <w:tcW w:type="dxa" w:w="39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Requires all filter conditions to pass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Average Gain per Trade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Captured between accumulation entry and post-announcement peak</w:t>
            </w:r>
          </w:p>
        </w:tc>
      </w:tr>
      <w:tr>
        <w:tc>
          <w:tcPr>
            <w:tcW w:type="dxa" w:w="2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Trade Duration</w:t>
            </w:r>
          </w:p>
        </w:tc>
        <w:tc>
          <w:tcPr>
            <w:tcW w:type="dxa" w:w="26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5–14 days</w:t>
            </w:r>
          </w:p>
        </w:tc>
        <w:tc>
          <w:tcPr>
            <w:tcW w:type="dxa" w:w="39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From entry (T-5 to T-14) to exit (T+1)</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Trades per Quarter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10–20</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Across 30–40 stock watchlist</w:t>
            </w:r>
          </w:p>
        </w:tc>
      </w:tr>
      <w:tr>
        <w:tc>
          <w:tcPr>
            <w:tcW w:type="dxa" w:w="2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Initial Stop-Loss</w:t>
            </w:r>
          </w:p>
        </w:tc>
        <w:tc>
          <w:tcPr>
            <w:tcW w:type="dxa" w:w="26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-3% from entry</w:t>
            </w:r>
          </w:p>
        </w:tc>
        <w:tc>
          <w:tcPr>
            <w:tcW w:type="dxa" w:w="39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Protects capital if signal is false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Trailing Trigger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Move SL to breakeven at +5%</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Ensures winning trades never become losses</w:t>
            </w:r>
          </w:p>
        </w:tc>
      </w:tr>
      <w:tr>
        <w:tc>
          <w:tcPr>
            <w:tcW w:type="dxa" w:w="2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Jump Guard</w:t>
            </w:r>
          </w:p>
        </w:tc>
        <w:tc>
          <w:tcPr>
            <w:tcW w:type="dxa" w:w="26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Tighten SL to 2% below price at +8%</w:t>
            </w:r>
          </w:p>
        </w:tc>
        <w:tc>
          <w:tcPr>
            <w:tcW w:type="dxa" w:w="39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Locks in the observed 10% gain</w:t>
            </w:r>
          </w:p>
        </w:tc>
      </w:tr>
    </w:tbl>
    <w:p>
      <w:pPr>
        <w:spacing w:after="80" w:before="80"/>
      </w:pPr>
      <w:r>
        <w:t xml:space="preserve"/>
      </w:r>
    </w:p>
    <w:p>
      <w:r>
        <w:br w:type="page"/>
      </w:r>
    </w:p>
    <w:p>
      <w:pPr>
        <w:pStyle w:val="Heading1"/>
        <w:pBdr>
          <w:bottom w:val="single" w:color="1E3A5F" w:sz="6" w:space="1"/>
        </w:pBdr>
        <w:spacing w:after="200" w:before="400"/>
      </w:pPr>
      <w:r>
        <w:rPr>
          <w:rFonts w:ascii="Arial" w:cs="Arial" w:eastAsia="Arial" w:hAnsi="Arial"/>
          <w:b/>
          <w:bCs/>
          <w:color w:val="1E3A5F"/>
          <w:sz w:val="34"/>
          <w:szCs w:val="34"/>
        </w:rPr>
        <w:t xml:space="preserve">3. What We Are Building</w:t>
      </w:r>
    </w:p>
    <w:p>
      <w:pPr>
        <w:spacing w:after="80" w:before="80"/>
      </w:pPr>
      <w:r>
        <w:t xml:space="preserve"/>
      </w:r>
    </w:p>
    <w:p>
      <w:pPr>
        <w:pStyle w:val="Heading2"/>
        <w:spacing w:after="160" w:before="300"/>
      </w:pPr>
      <w:r>
        <w:rPr>
          <w:rFonts w:ascii="Arial" w:cs="Arial" w:eastAsia="Arial" w:hAnsi="Arial"/>
          <w:b/>
          <w:bCs/>
          <w:color w:val="2E5F8A"/>
          <w:sz w:val="28"/>
          <w:szCs w:val="28"/>
        </w:rPr>
        <w:t xml:space="preserve">3.1 Feature Overview</w:t>
      </w:r>
    </w:p>
    <w:p>
      <w:pPr>
        <w:spacing w:after="120" w:before="80"/>
        <w:jc w:val="both"/>
      </w:pPr>
      <w:r>
        <w:rPr>
          <w:rFonts w:ascii="Arial" w:cs="Arial" w:eastAsia="Arial" w:hAnsi="Arial"/>
          <w:sz w:val="22"/>
          <w:szCs w:val="22"/>
        </w:rPr>
        <w:t xml:space="preserve">The Pre-Earnings Momentum Module is a self-contained feature within the existing personal trading tool. It is not a fully automated trading bot in the first version — it is a decision support and trade management system that surfaces high-confidence signals and enforces exit discipline. The user retains final approval on all entries.</w:t>
      </w:r>
    </w:p>
    <w:p>
      <w:pPr>
        <w:spacing w:after="80" w:before="80"/>
      </w:pPr>
      <w:r>
        <w:t xml:space="preserve"/>
      </w:r>
    </w:p>
    <w:p>
      <w:pPr>
        <w:pStyle w:val="Heading2"/>
        <w:spacing w:after="160" w:before="300"/>
      </w:pPr>
      <w:r>
        <w:rPr>
          <w:rFonts w:ascii="Arial" w:cs="Arial" w:eastAsia="Arial" w:hAnsi="Arial"/>
          <w:b/>
          <w:bCs/>
          <w:color w:val="2E5F8A"/>
          <w:sz w:val="28"/>
          <w:szCs w:val="28"/>
        </w:rPr>
        <w:t xml:space="preserve">3.2 System Architecture</w:t>
      </w:r>
    </w:p>
    <w:p>
      <w:pPr>
        <w:pStyle w:val="Heading3"/>
        <w:spacing w:after="120" w:before="240"/>
      </w:pPr>
      <w:r>
        <w:rPr>
          <w:rFonts w:ascii="Arial" w:cs="Arial" w:eastAsia="Arial" w:hAnsi="Arial"/>
          <w:b/>
          <w:bCs/>
          <w:color w:val="3A7ABF"/>
          <w:sz w:val="24"/>
          <w:szCs w:val="24"/>
        </w:rPr>
        <w:t xml:space="preserve">Layer 1: Data Ingestion</w:t>
      </w:r>
    </w:p>
    <w:p>
      <w:pPr>
        <w:spacing w:after="120" w:before="80"/>
        <w:jc w:val="both"/>
      </w:pPr>
      <w:r>
        <w:rPr>
          <w:rFonts w:ascii="Arial" w:cs="Arial" w:eastAsia="Arial" w:hAnsi="Arial"/>
          <w:sz w:val="22"/>
          <w:szCs w:val="22"/>
        </w:rPr>
        <w:t xml:space="preserve">The system requires two primary data inputs, both provided manually by the user in the first version:</w:t>
      </w:r>
    </w:p>
    <w:p>
      <w:pPr>
        <w:pStyle w:val="ListParagraph"/>
        <w:numPr>
          <w:ilvl w:val="0"/>
          <w:numId w:val="2"/>
        </w:numPr>
        <w:spacing w:after="80" w:before="60"/>
      </w:pPr>
      <w:r>
        <w:rPr>
          <w:rFonts w:ascii="Arial" w:cs="Arial" w:eastAsia="Arial" w:hAnsi="Arial"/>
          <w:b/>
          <w:bCs/>
          <w:sz w:val="22"/>
          <w:szCs w:val="22"/>
        </w:rPr>
        <w:t xml:space="preserve">Earnings Calendar: </w:t>
      </w:r>
      <w:r>
        <w:rPr>
          <w:rFonts w:ascii="Arial" w:cs="Arial" w:eastAsia="Arial" w:hAnsi="Arial"/>
          <w:sz w:val="22"/>
          <w:szCs w:val="22"/>
        </w:rPr>
        <w:t xml:space="preserve">A structured list of 30–40 watchlist stocks with their confirmed quarterly result announcement dates. This is ingested at the start of each quarter.</w:t>
      </w:r>
    </w:p>
    <w:p>
      <w:pPr>
        <w:pStyle w:val="ListParagraph"/>
        <w:numPr>
          <w:ilvl w:val="0"/>
          <w:numId w:val="2"/>
        </w:numPr>
        <w:spacing w:after="80" w:before="60"/>
      </w:pPr>
      <w:r>
        <w:rPr>
          <w:rFonts w:ascii="Arial" w:cs="Arial" w:eastAsia="Arial" w:hAnsi="Arial"/>
          <w:b/>
          <w:bCs/>
          <w:sz w:val="22"/>
          <w:szCs w:val="22"/>
        </w:rPr>
        <w:t xml:space="preserve">Price &amp; Volume Feed: </w:t>
      </w:r>
      <w:r>
        <w:rPr>
          <w:rFonts w:ascii="Arial" w:cs="Arial" w:eastAsia="Arial" w:hAnsi="Arial"/>
          <w:sz w:val="22"/>
          <w:szCs w:val="22"/>
        </w:rPr>
        <w:t xml:space="preserve">Daily OHLCV (Open, High, Low, Close, Volume) data for each watchlist stock, fetched via a market data API (Kite Connect, Upstox, or equivalent NSE/BSE data source).</w:t>
      </w:r>
    </w:p>
    <w:p>
      <w:pPr>
        <w:spacing w:after="80" w:before="80"/>
      </w:pPr>
      <w:r>
        <w:t xml:space="preserve"/>
      </w:r>
    </w:p>
    <w:p>
      <w:pPr>
        <w:pStyle w:val="Heading3"/>
        <w:spacing w:after="120" w:before="240"/>
      </w:pPr>
      <w:r>
        <w:rPr>
          <w:rFonts w:ascii="Arial" w:cs="Arial" w:eastAsia="Arial" w:hAnsi="Arial"/>
          <w:b/>
          <w:bCs/>
          <w:color w:val="3A7ABF"/>
          <w:sz w:val="24"/>
          <w:szCs w:val="24"/>
        </w:rPr>
        <w:t xml:space="preserve">Layer 2: Signal Generation (The Quality Gate)</w:t>
      </w:r>
    </w:p>
    <w:p>
      <w:pPr>
        <w:spacing w:after="120" w:before="80"/>
        <w:jc w:val="both"/>
      </w:pPr>
      <w:r>
        <w:rPr>
          <w:rFonts w:ascii="Arial" w:cs="Arial" w:eastAsia="Arial" w:hAnsi="Arial"/>
          <w:sz w:val="22"/>
          <w:szCs w:val="22"/>
        </w:rPr>
        <w:t xml:space="preserve">The signal engine scans each stock daily during its active pre-earnings window (T-21 to T-1 days before announcement). It applies the following filters in sequence. All must pass for a BUY signal to be generated: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2800"/>
        <w:gridCol w:w="3660"/>
      </w:tblGrid>
      <w:tr>
        <w:trPr>
          <w:tblHeader/>
        </w:trPr>
        <w:tc>
          <w:tcPr>
            <w:tcW w:type="dxa" w:w="90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Filter #</w:t>
            </w:r>
          </w:p>
        </w:tc>
        <w:tc>
          <w:tcPr>
            <w:tcW w:type="dxa" w:w="200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Filter Name</w:t>
            </w:r>
          </w:p>
        </w:tc>
        <w:tc>
          <w:tcPr>
            <w:tcW w:type="dxa" w:w="280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Condition</w:t>
            </w:r>
          </w:p>
        </w:tc>
        <w:tc>
          <w:tcPr>
            <w:tcW w:type="dxa" w:w="366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Disqualifies If</w:t>
            </w:r>
          </w:p>
        </w:tc>
      </w:tr>
      <w:tr>
        <w:tc>
          <w:tcPr>
            <w:tcW w:type="dxa" w:w="9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1</w:t>
            </w:r>
          </w:p>
        </w:tc>
        <w:tc>
          <w:tcPr>
            <w:tcW w:type="dxa" w:w="2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Pre-Earnings Window</w:t>
            </w:r>
          </w:p>
        </w:tc>
        <w:tc>
          <w:tcPr>
            <w:tcW w:type="dxa" w:w="2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Current date is within 21 days of announcement</w:t>
            </w:r>
          </w:p>
        </w:tc>
        <w:tc>
          <w:tcPr>
            <w:tcW w:type="dxa" w:w="36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Outside window; no scan needed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Prior Run-Up Check</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Stock has NOT already risen 8%+ in prior 10 days</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Already priced in; skip</w:t>
            </w:r>
          </w:p>
        </w:tc>
      </w:tr>
      <w:tr>
        <w:tc>
          <w:tcPr>
            <w:tcW w:type="dxa" w:w="9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3</w:t>
            </w:r>
          </w:p>
        </w:tc>
        <w:tc>
          <w:tcPr>
            <w:tcW w:type="dxa" w:w="2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Market Correlation</w:t>
            </w:r>
          </w:p>
        </w:tc>
        <w:tc>
          <w:tcPr>
            <w:tcW w:type="dxa" w:w="2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Nifty/Sensex did NOT fall significantly same week</w:t>
            </w:r>
          </w:p>
        </w:tc>
        <w:tc>
          <w:tcPr>
            <w:tcW w:type="dxa" w:w="36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Dip is macro-driven, not accumulation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Sector Correlation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Peer stocks in sector did NOT also dip</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Dip is sector rotation, not stock-specific</w:t>
            </w:r>
          </w:p>
        </w:tc>
      </w:tr>
      <w:tr>
        <w:tc>
          <w:tcPr>
            <w:tcW w:type="dxa" w:w="9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5</w:t>
            </w:r>
          </w:p>
        </w:tc>
        <w:tc>
          <w:tcPr>
            <w:tcW w:type="dxa" w:w="2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RSI Gate</w:t>
            </w:r>
          </w:p>
        </w:tc>
        <w:tc>
          <w:tcPr>
            <w:tcW w:type="dxa" w:w="2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RSI (14) &lt; 45, at a local low in the window</w:t>
            </w:r>
          </w:p>
        </w:tc>
        <w:tc>
          <w:tcPr>
            <w:tcW w:type="dxa" w:w="36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No oversold condition present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Volume-Price Divergence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Volume &gt; 150% of 20-day avg AND price move &lt; 30% of baseline</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accumulation fingerprint detected</w:t>
            </w:r>
          </w:p>
        </w:tc>
      </w:tr>
      <w:tr>
        <w:tc>
          <w:tcPr>
            <w:tcW w:type="dxa" w:w="9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7</w:t>
            </w:r>
          </w:p>
        </w:tc>
        <w:tc>
          <w:tcPr>
            <w:tcW w:type="dxa" w:w="2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Sector Concentration</w:t>
            </w:r>
          </w:p>
        </w:tc>
        <w:tc>
          <w:tcPr>
            <w:tcW w:type="dxa" w:w="2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Fewer than 3 stocks from same sector already in active trades</w:t>
            </w:r>
          </w:p>
        </w:tc>
        <w:tc>
          <w:tcPr>
            <w:tcW w:type="dxa" w:w="36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Institutional money concentrates on sector leader only</w:t>
            </w:r>
          </w:p>
        </w:tc>
      </w:tr>
    </w:tbl>
    <w:p>
      <w:pPr>
        <w:spacing w:after="80" w:before="80"/>
      </w:pPr>
      <w:r>
        <w:t xml:space="preserve"/>
      </w:r>
    </w:p>
    <w:p>
      <w:pPr>
        <w:pStyle w:val="Heading3"/>
        <w:spacing w:after="120" w:before="240"/>
      </w:pPr>
      <w:r>
        <w:rPr>
          <w:rFonts w:ascii="Arial" w:cs="Arial" w:eastAsia="Arial" w:hAnsi="Arial"/>
          <w:b/>
          <w:bCs/>
          <w:color w:val="3A7ABF"/>
          <w:sz w:val="24"/>
          <w:szCs w:val="24"/>
        </w:rPr>
        <w:t xml:space="preserve">Layer 3: Trade State Machine</w:t>
      </w:r>
    </w:p>
    <w:p>
      <w:pPr>
        <w:spacing w:after="120" w:before="80"/>
        <w:jc w:val="both"/>
      </w:pPr>
      <w:r>
        <w:rPr>
          <w:rFonts w:ascii="Arial" w:cs="Arial" w:eastAsia="Arial" w:hAnsi="Arial"/>
          <w:sz w:val="22"/>
          <w:szCs w:val="22"/>
        </w:rPr>
        <w:t xml:space="preserve">Each qualifying stock is tracked as a stateful trade object. The lifecycle follows a strict state machine: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800"/>
        <w:gridCol w:w="2760"/>
      </w:tblGrid>
      <w:tr>
        <w:trPr>
          <w:tblHeader/>
        </w:trPr>
        <w:tc>
          <w:tcPr>
            <w:tcW w:type="dxa" w:w="180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State</w:t>
            </w:r>
          </w:p>
        </w:tc>
        <w:tc>
          <w:tcPr>
            <w:tcW w:type="dxa" w:w="200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Trigger</w:t>
            </w:r>
          </w:p>
        </w:tc>
        <w:tc>
          <w:tcPr>
            <w:tcW w:type="dxa" w:w="280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Action</w:t>
            </w:r>
          </w:p>
        </w:tc>
        <w:tc>
          <w:tcPr>
            <w:tcW w:type="dxa" w:w="276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Next State</w:t>
            </w:r>
          </w:p>
        </w:tc>
      </w:tr>
      <w:tr>
        <w:tc>
          <w:tcPr>
            <w:tcW w:type="dxa" w:w="1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PENDING</w:t>
            </w:r>
          </w:p>
        </w:tc>
        <w:tc>
          <w:tcPr>
            <w:tcW w:type="dxa" w:w="2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Stock enters T-21 window</w:t>
            </w:r>
          </w:p>
        </w:tc>
        <w:tc>
          <w:tcPr>
            <w:tcW w:type="dxa" w:w="2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Begin daily scanning</w:t>
            </w:r>
          </w:p>
        </w:tc>
        <w:tc>
          <w:tcPr>
            <w:tcW w:type="dxa" w:w="27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MONITORING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MONITORING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7 filters pass on a given day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Alert user; await approval</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AWAITING_APPROVAL</w:t>
            </w:r>
          </w:p>
        </w:tc>
      </w:tr>
      <w:tr>
        <w:tc>
          <w:tcPr>
            <w:tcW w:type="dxa" w:w="1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AWAITING_APPROVAL</w:t>
            </w:r>
          </w:p>
        </w:tc>
        <w:tc>
          <w:tcPr>
            <w:tcW w:type="dxa" w:w="2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User approves entry</w:t>
            </w:r>
          </w:p>
        </w:tc>
        <w:tc>
          <w:tcPr>
            <w:tcW w:type="dxa" w:w="2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Execute BUY at market/limit</w:t>
            </w:r>
          </w:p>
        </w:tc>
        <w:tc>
          <w:tcPr>
            <w:tcW w:type="dxa" w:w="27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ACTIVE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Price reaches +5%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Move stop-loss to breakeven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ACTIVE (SL updated)</w:t>
            </w:r>
          </w:p>
        </w:tc>
      </w:tr>
      <w:tr>
        <w:tc>
          <w:tcPr>
            <w:tcW w:type="dxa" w:w="1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ACTIVE</w:t>
            </w:r>
          </w:p>
        </w:tc>
        <w:tc>
          <w:tcPr>
            <w:tcW w:type="dxa" w:w="2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Price reaches +8%</w:t>
            </w:r>
          </w:p>
        </w:tc>
        <w:tc>
          <w:tcPr>
            <w:tcW w:type="dxa" w:w="2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Tighten SL to 2% below current price</w:t>
            </w:r>
          </w:p>
        </w:tc>
        <w:tc>
          <w:tcPr>
            <w:tcW w:type="dxa" w:w="27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ACTIVE (SL tightened)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Announcement Date + 1 (T+1)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Force exit at market open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EXITED</w:t>
            </w:r>
          </w:p>
        </w:tc>
      </w:tr>
      <w:tr>
        <w:tc>
          <w:tcPr>
            <w:tcW w:type="dxa" w:w="1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ACTIVE</w:t>
            </w:r>
          </w:p>
        </w:tc>
        <w:tc>
          <w:tcPr>
            <w:tcW w:type="dxa" w:w="2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Stop-loss triggered</w:t>
            </w:r>
          </w:p>
        </w:tc>
        <w:tc>
          <w:tcPr>
            <w:tcW w:type="dxa" w:w="2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Exit at SL price</w:t>
            </w:r>
          </w:p>
        </w:tc>
        <w:tc>
          <w:tcPr>
            <w:tcW w:type="dxa" w:w="27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EXITED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EXITED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Trade closed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 result to performance tracker</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bl>
    <w:p>
      <w:pPr>
        <w:spacing w:after="80" w:before="80"/>
      </w:pPr>
      <w:r>
        <w:t xml:space="preserve"/>
      </w:r>
    </w:p>
    <w:p>
      <w:pPr>
        <w:pStyle w:val="Heading3"/>
        <w:spacing w:after="120" w:before="240"/>
      </w:pPr>
      <w:r>
        <w:rPr>
          <w:rFonts w:ascii="Arial" w:cs="Arial" w:eastAsia="Arial" w:hAnsi="Arial"/>
          <w:b/>
          <w:bCs/>
          <w:color w:val="3A7ABF"/>
          <w:sz w:val="24"/>
          <w:szCs w:val="24"/>
        </w:rPr>
        <w:t xml:space="preserve">Layer 4: Dashboard UI</w:t>
      </w:r>
    </w:p>
    <w:p>
      <w:pPr>
        <w:spacing w:after="120" w:before="80"/>
        <w:jc w:val="both"/>
      </w:pPr>
      <w:r>
        <w:rPr>
          <w:rFonts w:ascii="Arial" w:cs="Arial" w:eastAsia="Arial" w:hAnsi="Arial"/>
          <w:sz w:val="22"/>
          <w:szCs w:val="22"/>
        </w:rPr>
        <w:t xml:space="preserve">The user-facing interface surfaces the following information in a single view:</w:t>
      </w:r>
    </w:p>
    <w:p>
      <w:pPr>
        <w:pStyle w:val="ListParagraph"/>
        <w:numPr>
          <w:ilvl w:val="0"/>
          <w:numId w:val="2"/>
        </w:numPr>
        <w:spacing w:after="80" w:before="60"/>
      </w:pPr>
      <w:r>
        <w:rPr>
          <w:rFonts w:ascii="Arial" w:cs="Arial" w:eastAsia="Arial" w:hAnsi="Arial"/>
          <w:sz w:val="22"/>
          <w:szCs w:val="22"/>
        </w:rPr>
        <w:t xml:space="preserve">Watchlist overview: All 30–40 stocks with days-to-announcement countdown, current RSI, and volume-price divergence score</w:t>
      </w:r>
    </w:p>
    <w:p>
      <w:pPr>
        <w:pStyle w:val="ListParagraph"/>
        <w:numPr>
          <w:ilvl w:val="0"/>
          <w:numId w:val="2"/>
        </w:numPr>
        <w:spacing w:after="80" w:before="60"/>
      </w:pPr>
      <w:r>
        <w:rPr>
          <w:rFonts w:ascii="Arial" w:cs="Arial" w:eastAsia="Arial" w:hAnsi="Arial"/>
          <w:sz w:val="22"/>
          <w:szCs w:val="22"/>
        </w:rPr>
        <w:t xml:space="preserve">Signal alerts: Stocks that have passed all 7 filters, ready for user approval</w:t>
      </w:r>
    </w:p>
    <w:p>
      <w:pPr>
        <w:pStyle w:val="ListParagraph"/>
        <w:numPr>
          <w:ilvl w:val="0"/>
          <w:numId w:val="2"/>
        </w:numPr>
        <w:spacing w:after="80" w:before="60"/>
      </w:pPr>
      <w:r>
        <w:rPr>
          <w:rFonts w:ascii="Arial" w:cs="Arial" w:eastAsia="Arial" w:hAnsi="Arial"/>
          <w:sz w:val="22"/>
          <w:szCs w:val="22"/>
        </w:rPr>
        <w:t xml:space="preserve">Active trades: All open positions with current price, entry price, stop-loss level, and P&amp;L</w:t>
      </w:r>
    </w:p>
    <w:p>
      <w:pPr>
        <w:pStyle w:val="ListParagraph"/>
        <w:numPr>
          <w:ilvl w:val="0"/>
          <w:numId w:val="2"/>
        </w:numPr>
        <w:spacing w:after="80" w:before="60"/>
      </w:pPr>
      <w:r>
        <w:rPr>
          <w:rFonts w:ascii="Arial" w:cs="Arial" w:eastAsia="Arial" w:hAnsi="Arial"/>
          <w:sz w:val="22"/>
          <w:szCs w:val="22"/>
        </w:rPr>
        <w:t xml:space="preserve">Upcoming announcements: Calendar view of announcement dates in the next 21 days</w:t>
      </w:r>
    </w:p>
    <w:p>
      <w:pPr>
        <w:pStyle w:val="ListParagraph"/>
        <w:numPr>
          <w:ilvl w:val="0"/>
          <w:numId w:val="2"/>
        </w:numPr>
        <w:spacing w:after="80" w:before="60"/>
      </w:pPr>
      <w:r>
        <w:rPr>
          <w:rFonts w:ascii="Arial" w:cs="Arial" w:eastAsia="Arial" w:hAnsi="Arial"/>
          <w:sz w:val="22"/>
          <w:szCs w:val="22"/>
        </w:rPr>
        <w:t xml:space="preserve">Performance log: Historical trade results showing success rate, average gain, and filter-level analytics</w:t>
      </w:r>
    </w:p>
    <w:p>
      <w:pPr>
        <w:spacing w:after="80" w:before="80"/>
      </w:pPr>
      <w:r>
        <w:t xml:space="preserve"/>
      </w:r>
    </w:p>
    <w:p>
      <w:pPr>
        <w:pStyle w:val="Heading2"/>
        <w:spacing w:after="160" w:before="300"/>
      </w:pPr>
      <w:r>
        <w:rPr>
          <w:rFonts w:ascii="Arial" w:cs="Arial" w:eastAsia="Arial" w:hAnsi="Arial"/>
          <w:b/>
          <w:bCs/>
          <w:color w:val="2E5F8A"/>
          <w:sz w:val="28"/>
          <w:szCs w:val="28"/>
        </w:rPr>
        <w:t xml:space="preserve">3.3 Entry Logic Detail</w:t>
      </w:r>
    </w:p>
    <w:p>
      <w:pPr>
        <w:spacing w:after="120" w:before="80"/>
        <w:jc w:val="both"/>
      </w:pPr>
      <w:r>
        <w:rPr>
          <w:rFonts w:ascii="Arial" w:cs="Arial" w:eastAsia="Arial" w:hAnsi="Arial"/>
          <w:sz w:val="22"/>
          <w:szCs w:val="22"/>
        </w:rPr>
        <w:t xml:space="preserve">The entry point is NOT a fixed T-5 window. It is dynamic: the system identifies the lowest RSI point within the T-21 to T-1 window that passes all filters. This is the accumulation candle. The entry is placed at the close of that day or the open of the following morning.</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NOTE</w:t>
            </w:r>
          </w:p>
        </w:tc>
        <w:tc>
          <w:tcPr>
            <w:tcW w:type="dxa" w:w="8860"/>
            <w:tcBorders>
              <w:top w:val="single" w:color="CCCCCC" w:sz="1"/>
              <w:left w:val="single" w:color="CCCCCC" w:sz="1"/>
              <w:bottom w:val="single" w:color="CCCCCC" w:sz="1"/>
              <w:right w:val="single" w:color="CCCCCC" w:sz="1"/>
            </w:tcBorders>
            <w:shd w:fill="E8F0FA" w:val="clear"/>
            <w:tcMar>
              <w:top w:type="dxa" w:w="100"/>
              <w:left w:type="dxa" w:w="180"/>
              <w:bottom w:type="dxa" w:w="100"/>
              <w:right w:type="dxa" w:w="120"/>
            </w:tcMar>
          </w:tcPr>
          <w:p>
            <w:r>
              <w:rPr>
                <w:rFonts w:ascii="Arial" w:cs="Arial" w:eastAsia="Arial" w:hAnsi="Arial"/>
                <w:i/>
                <w:iCs/>
                <w:sz w:val="20"/>
                <w:szCs w:val="20"/>
              </w:rPr>
              <w:t xml:space="preserve">A fixed window (e.g., always buy T-5) is a weaker version of this strategy. The dynamic entry captures the actual accumulation moment rather than a date-based approximation.</w:t>
            </w:r>
          </w:p>
        </w:tc>
      </w:tr>
    </w:tbl>
    <w:p>
      <w:pPr>
        <w:spacing w:after="80" w:before="80"/>
      </w:pPr>
      <w:r>
        <w:t xml:space="preserve"/>
      </w:r>
    </w:p>
    <w:p>
      <w:pPr>
        <w:pStyle w:val="Heading2"/>
        <w:spacing w:after="160" w:before="300"/>
      </w:pPr>
      <w:r>
        <w:rPr>
          <w:rFonts w:ascii="Arial" w:cs="Arial" w:eastAsia="Arial" w:hAnsi="Arial"/>
          <w:b/>
          <w:bCs/>
          <w:color w:val="2E5F8A"/>
          <w:sz w:val="28"/>
          <w:szCs w:val="28"/>
        </w:rPr>
        <w:t xml:space="preserve">3.4 Exit Logic Detail</w:t>
      </w:r>
    </w:p>
    <w:p>
      <w:pPr>
        <w:spacing w:after="120" w:before="80"/>
        <w:jc w:val="both"/>
      </w:pPr>
      <w:r>
        <w:rPr>
          <w:rFonts w:ascii="Arial" w:cs="Arial" w:eastAsia="Arial" w:hAnsi="Arial"/>
          <w:sz w:val="22"/>
          <w:szCs w:val="22"/>
        </w:rPr>
        <w:t xml:space="preserve">Exit is governed by a Volatility-Adjusted Trailing Stop-Loss with three layers: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800"/>
        <w:gridCol w:w="1960"/>
      </w:tblGrid>
      <w:tr>
        <w:trPr>
          <w:tblHeader/>
        </w:trPr>
        <w:tc>
          <w:tcPr>
            <w:tcW w:type="dxa" w:w="220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Component</w:t>
            </w:r>
          </w:p>
        </w:tc>
        <w:tc>
          <w:tcPr>
            <w:tcW w:type="dxa" w:w="240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Trigger</w:t>
            </w:r>
          </w:p>
        </w:tc>
        <w:tc>
          <w:tcPr>
            <w:tcW w:type="dxa" w:w="280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Action</w:t>
            </w:r>
          </w:p>
        </w:tc>
        <w:tc>
          <w:tcPr>
            <w:tcW w:type="dxa" w:w="196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Initial Stop-Loss</w:t>
            </w:r>
          </w:p>
        </w:tc>
        <w:tc>
          <w:tcPr>
            <w:tcW w:type="dxa" w:w="24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Set at entry</w:t>
            </w:r>
          </w:p>
        </w:tc>
        <w:tc>
          <w:tcPr>
            <w:tcW w:type="dxa" w:w="2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-3% from entry price</w:t>
            </w:r>
          </w:p>
        </w:tc>
        <w:tc>
          <w:tcPr>
            <w:tcW w:type="dxa" w:w="19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Prevents deep capital erosion if signal is false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Breakeven Trigger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Price reaches +5%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Move SL to entry price (breakeven)</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Ensures winning trade cannot become a loss</w:t>
            </w:r>
          </w:p>
        </w:tc>
      </w:tr>
      <w:tr>
        <w:tc>
          <w:tcPr>
            <w:tcW w:type="dxa" w:w="22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Jump Guard</w:t>
            </w:r>
          </w:p>
        </w:tc>
        <w:tc>
          <w:tcPr>
            <w:tcW w:type="dxa" w:w="24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Price jumps +8% in one session</w:t>
            </w:r>
          </w:p>
        </w:tc>
        <w:tc>
          <w:tcPr>
            <w:tcW w:type="dxa" w:w="2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Tighten SL to 2% below current price</w:t>
            </w:r>
          </w:p>
        </w:tc>
        <w:tc>
          <w:tcPr>
            <w:tcW w:type="dxa" w:w="19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Locks in the 10% gain observed historically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 Exit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T+1 (day after announcement)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Exit at market open regardless of P&amp;L</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Prevents momentum trade from becoming a fundamental bet</w:t>
            </w:r>
          </w:p>
        </w:tc>
      </w:tr>
    </w:tbl>
    <w:p>
      <w:pPr>
        <w:spacing w:after="80" w:before="80"/>
      </w:pPr>
      <w:r>
        <w:t xml:space="preserve"/>
      </w:r>
    </w:p>
    <w:p>
      <w:pPr>
        <w:pStyle w:val="Heading2"/>
        <w:spacing w:after="160" w:before="300"/>
      </w:pPr>
      <w:r>
        <w:rPr>
          <w:rFonts w:ascii="Arial" w:cs="Arial" w:eastAsia="Arial" w:hAnsi="Arial"/>
          <w:b/>
          <w:bCs/>
          <w:color w:val="2E5F8A"/>
          <w:sz w:val="28"/>
          <w:szCs w:val="28"/>
        </w:rPr>
        <w:t xml:space="preserve">3.5 Special Cases</w:t>
      </w:r>
    </w:p>
    <w:p>
      <w:pPr>
        <w:pStyle w:val="Heading3"/>
        <w:spacing w:after="120" w:before="240"/>
      </w:pPr>
      <w:r>
        <w:rPr>
          <w:rFonts w:ascii="Arial" w:cs="Arial" w:eastAsia="Arial" w:hAnsi="Arial"/>
          <w:b/>
          <w:bCs/>
          <w:color w:val="3A7ABF"/>
          <w:sz w:val="24"/>
          <w:szCs w:val="24"/>
        </w:rPr>
        <w:t xml:space="preserve">Weekend Gap Handling</w:t>
      </w:r>
    </w:p>
    <w:p>
      <w:pPr>
        <w:spacing w:after="120" w:before="80"/>
        <w:jc w:val="both"/>
      </w:pPr>
      <w:r>
        <w:rPr>
          <w:rFonts w:ascii="Arial" w:cs="Arial" w:eastAsia="Arial" w:hAnsi="Arial"/>
          <w:sz w:val="22"/>
          <w:szCs w:val="22"/>
        </w:rPr>
        <w:t xml:space="preserve">If an announcement falls on a Monday, Friday buying pressure is typically aggressive as institutions complete their accumulation before the weekend. The system should flag Friday entries for Monday announcements as higher-priority signals.</w:t>
      </w:r>
    </w:p>
    <w:p>
      <w:pPr>
        <w:spacing w:after="80" w:before="80"/>
      </w:pPr>
      <w:r>
        <w:t xml:space="preserve"/>
      </w:r>
    </w:p>
    <w:p>
      <w:pPr>
        <w:pStyle w:val="Heading3"/>
        <w:spacing w:after="120" w:before="240"/>
      </w:pPr>
      <w:r>
        <w:rPr>
          <w:rFonts w:ascii="Arial" w:cs="Arial" w:eastAsia="Arial" w:hAnsi="Arial"/>
          <w:b/>
          <w:bCs/>
          <w:color w:val="3A7ABF"/>
          <w:sz w:val="24"/>
          <w:szCs w:val="24"/>
        </w:rPr>
        <w:t xml:space="preserve">Sector Concentration Cap</w:t>
      </w:r>
    </w:p>
    <w:p>
      <w:pPr>
        <w:spacing w:after="120" w:before="80"/>
        <w:jc w:val="both"/>
      </w:pPr>
      <w:r>
        <w:rPr>
          <w:rFonts w:ascii="Arial" w:cs="Arial" w:eastAsia="Arial" w:hAnsi="Arial"/>
          <w:sz w:val="22"/>
          <w:szCs w:val="22"/>
        </w:rPr>
        <w:t xml:space="preserve">If multiple stocks from the same sector (e.g., 4 IT companies) all pass the filter in the same week, the system should only surface the one with the strongest volume-price divergence score. Institutional capital typically concentrates in the sector leader before spreading to peers.</w:t>
      </w:r>
    </w:p>
    <w:p>
      <w:pPr>
        <w:spacing w:after="80" w:before="80"/>
      </w:pPr>
      <w:r>
        <w:t xml:space="preserve"/>
      </w:r>
    </w:p>
    <w:p>
      <w:pPr>
        <w:pStyle w:val="Heading3"/>
        <w:spacing w:after="120" w:before="240"/>
      </w:pPr>
      <w:r>
        <w:rPr>
          <w:rFonts w:ascii="Arial" w:cs="Arial" w:eastAsia="Arial" w:hAnsi="Arial"/>
          <w:b/>
          <w:bCs/>
          <w:color w:val="3A7ABF"/>
          <w:sz w:val="24"/>
          <w:szCs w:val="24"/>
        </w:rPr>
        <w:t xml:space="preserve">Bear Market Override</w:t>
      </w:r>
    </w:p>
    <w:p>
      <w:pPr>
        <w:spacing w:after="120" w:before="80"/>
        <w:jc w:val="both"/>
      </w:pPr>
      <w:r>
        <w:rPr>
          <w:rFonts w:ascii="Arial" w:cs="Arial" w:eastAsia="Arial" w:hAnsi="Arial"/>
          <w:sz w:val="22"/>
          <w:szCs w:val="22"/>
        </w:rPr>
        <w:t xml:space="preserve">The strategy's observed 60–70% success rate was calibrated in a high-optimism market environment (Jan–Feb 2026). In a declared bear market or high-interest-rate environment (Nifty down 15%+ from recent high), the system should add a Nifty trend filter: only generate signals when the broader market is in a neutral or bullish weekly trend.</w:t>
      </w:r>
    </w:p>
    <w:p>
      <w:pPr>
        <w:spacing w:after="80" w:before="80"/>
      </w:pPr>
      <w:r>
        <w:t xml:space="preserve"/>
      </w:r>
    </w:p>
    <w:p>
      <w:r>
        <w:br w:type="page"/>
      </w:r>
    </w:p>
    <w:p>
      <w:pPr>
        <w:pStyle w:val="Heading1"/>
        <w:pBdr>
          <w:bottom w:val="single" w:color="1E3A5F" w:sz="6" w:space="1"/>
        </w:pBdr>
        <w:spacing w:after="200" w:before="400"/>
      </w:pPr>
      <w:r>
        <w:rPr>
          <w:rFonts w:ascii="Arial" w:cs="Arial" w:eastAsia="Arial" w:hAnsi="Arial"/>
          <w:b/>
          <w:bCs/>
          <w:color w:val="1E3A5F"/>
          <w:sz w:val="34"/>
          <w:szCs w:val="34"/>
        </w:rPr>
        <w:t xml:space="preserve">4. Implementation Roadmap</w:t>
      </w:r>
    </w:p>
    <w:p>
      <w:pPr>
        <w:spacing w:after="80" w:before="80"/>
      </w:pPr>
      <w:r>
        <w:t xml:space="preserve"/>
      </w:r>
    </w:p>
    <w:p>
      <w:pPr>
        <w:pStyle w:val="Heading2"/>
        <w:spacing w:after="160" w:before="300"/>
      </w:pPr>
      <w:r>
        <w:rPr>
          <w:rFonts w:ascii="Arial" w:cs="Arial" w:eastAsia="Arial" w:hAnsi="Arial"/>
          <w:b/>
          <w:bCs/>
          <w:color w:val="2E5F8A"/>
          <w:sz w:val="28"/>
          <w:szCs w:val="28"/>
        </w:rPr>
        <w:t xml:space="preserve">Phase 1: Decision Support Dashboard (Current)</w:t>
      </w:r>
    </w:p>
    <w:p>
      <w:pPr>
        <w:spacing w:after="120" w:before="80"/>
        <w:jc w:val="both"/>
      </w:pPr>
      <w:r>
        <w:rPr>
          <w:rFonts w:ascii="Arial" w:cs="Arial" w:eastAsia="Arial" w:hAnsi="Arial"/>
          <w:sz w:val="22"/>
          <w:szCs w:val="22"/>
        </w:rPr>
        <w:t xml:space="preserve">Build the system as a read-only signal dashboard. No automated order execution. The user sees signals, reviews them manually, and places trades themselves. This phase validates signal quality across one full quarter before any automation is introduced.</w:t>
      </w:r>
    </w:p>
    <w:p>
      <w:pPr>
        <w:pStyle w:val="ListParagraph"/>
        <w:numPr>
          <w:ilvl w:val="0"/>
          <w:numId w:val="2"/>
        </w:numPr>
        <w:spacing w:after="80" w:before="60"/>
      </w:pPr>
      <w:r>
        <w:rPr>
          <w:rFonts w:ascii="Arial" w:cs="Arial" w:eastAsia="Arial" w:hAnsi="Arial"/>
          <w:sz w:val="22"/>
          <w:szCs w:val="22"/>
        </w:rPr>
        <w:t xml:space="preserve">Earnings calendar ingestion (manual CSV upload)</w:t>
      </w:r>
    </w:p>
    <w:p>
      <w:pPr>
        <w:pStyle w:val="ListParagraph"/>
        <w:numPr>
          <w:ilvl w:val="0"/>
          <w:numId w:val="2"/>
        </w:numPr>
        <w:spacing w:after="80" w:before="60"/>
      </w:pPr>
      <w:r>
        <w:rPr>
          <w:rFonts w:ascii="Arial" w:cs="Arial" w:eastAsia="Arial" w:hAnsi="Arial"/>
          <w:sz w:val="22"/>
          <w:szCs w:val="22"/>
        </w:rPr>
        <w:t xml:space="preserve">Daily price/volume data fetch via API</w:t>
      </w:r>
    </w:p>
    <w:p>
      <w:pPr>
        <w:pStyle w:val="ListParagraph"/>
        <w:numPr>
          <w:ilvl w:val="0"/>
          <w:numId w:val="2"/>
        </w:numPr>
        <w:spacing w:after="80" w:before="60"/>
      </w:pPr>
      <w:r>
        <w:rPr>
          <w:rFonts w:ascii="Arial" w:cs="Arial" w:eastAsia="Arial" w:hAnsi="Arial"/>
          <w:sz w:val="22"/>
          <w:szCs w:val="22"/>
        </w:rPr>
        <w:t xml:space="preserve">All 7 signal filters implemented and logged</w:t>
      </w:r>
    </w:p>
    <w:p>
      <w:pPr>
        <w:pStyle w:val="ListParagraph"/>
        <w:numPr>
          <w:ilvl w:val="0"/>
          <w:numId w:val="2"/>
        </w:numPr>
        <w:spacing w:after="80" w:before="60"/>
      </w:pPr>
      <w:r>
        <w:rPr>
          <w:rFonts w:ascii="Arial" w:cs="Arial" w:eastAsia="Arial" w:hAnsi="Arial"/>
          <w:sz w:val="22"/>
          <w:szCs w:val="22"/>
        </w:rPr>
        <w:t xml:space="preserve">Dashboard UI with watchlist, signals, and active trade tracking</w:t>
      </w:r>
    </w:p>
    <w:p>
      <w:pPr>
        <w:pStyle w:val="ListParagraph"/>
        <w:numPr>
          <w:ilvl w:val="0"/>
          <w:numId w:val="2"/>
        </w:numPr>
        <w:spacing w:after="80" w:before="60"/>
      </w:pPr>
      <w:r>
        <w:rPr>
          <w:rFonts w:ascii="Arial" w:cs="Arial" w:eastAsia="Arial" w:hAnsi="Arial"/>
          <w:sz w:val="22"/>
          <w:szCs w:val="22"/>
        </w:rPr>
        <w:t xml:space="preserve">Performance log capturing entry date, exit date, entry price, exit price, filter scores</w:t>
      </w:r>
    </w:p>
    <w:p>
      <w:pPr>
        <w:spacing w:after="80" w:before="80"/>
      </w:pPr>
      <w:r>
        <w:t xml:space="preserve"/>
      </w:r>
    </w:p>
    <w:p>
      <w:pPr>
        <w:pStyle w:val="Heading2"/>
        <w:spacing w:after="160" w:before="300"/>
      </w:pPr>
      <w:r>
        <w:rPr>
          <w:rFonts w:ascii="Arial" w:cs="Arial" w:eastAsia="Arial" w:hAnsi="Arial"/>
          <w:b/>
          <w:bCs/>
          <w:color w:val="2E5F8A"/>
          <w:sz w:val="28"/>
          <w:szCs w:val="28"/>
        </w:rPr>
        <w:t xml:space="preserve">Phase 2: Semi-Automated Execution</w:t>
      </w:r>
    </w:p>
    <w:p>
      <w:pPr>
        <w:spacing w:after="120" w:before="80"/>
        <w:jc w:val="both"/>
      </w:pPr>
      <w:r>
        <w:rPr>
          <w:rFonts w:ascii="Arial" w:cs="Arial" w:eastAsia="Arial" w:hAnsi="Arial"/>
          <w:sz w:val="22"/>
          <w:szCs w:val="22"/>
        </w:rPr>
        <w:t xml:space="preserve">After validating signal quality in Phase 1, connect the system to a broker API (Kite Connect or Upstox) for one-click order execution directly from the dashboard signal alert. The user still approves each trade; the system handles order placement and stop-loss management automatically.</w:t>
      </w:r>
    </w:p>
    <w:p>
      <w:pPr>
        <w:spacing w:after="80" w:before="80"/>
      </w:pPr>
      <w:r>
        <w:t xml:space="preserve"/>
      </w:r>
    </w:p>
    <w:p>
      <w:pPr>
        <w:pStyle w:val="Heading2"/>
        <w:spacing w:after="160" w:before="300"/>
      </w:pPr>
      <w:r>
        <w:rPr>
          <w:rFonts w:ascii="Arial" w:cs="Arial" w:eastAsia="Arial" w:hAnsi="Arial"/>
          <w:b/>
          <w:bCs/>
          <w:color w:val="2E5F8A"/>
          <w:sz w:val="28"/>
          <w:szCs w:val="28"/>
        </w:rPr>
        <w:t xml:space="preserve">Phase 3: Full Automation with Guardrails</w:t>
      </w:r>
    </w:p>
    <w:p>
      <w:pPr>
        <w:spacing w:after="120" w:before="80"/>
        <w:jc w:val="both"/>
      </w:pPr>
      <w:r>
        <w:rPr>
          <w:rFonts w:ascii="Arial" w:cs="Arial" w:eastAsia="Arial" w:hAnsi="Arial"/>
          <w:sz w:val="22"/>
          <w:szCs w:val="22"/>
        </w:rPr>
        <w:t xml:space="preserve">Fully automated entry and exit, with hard guardrails: maximum capital per trade, maximum concurrent positions, mandatory market condition checks. This phase is only appropriate after Phase 2 has demonstrated consistent results across at least two full quarters.</w:t>
      </w:r>
    </w:p>
    <w:p>
      <w:pPr>
        <w:spacing w:after="80" w:before="80"/>
      </w:pPr>
      <w:r>
        <w:t xml:space="preserve"/>
      </w:r>
    </w:p>
    <w:p>
      <w:pPr>
        <w:pStyle w:val="Heading1"/>
        <w:pBdr>
          <w:bottom w:val="single" w:color="1E3A5F" w:sz="6" w:space="1"/>
        </w:pBdr>
        <w:spacing w:after="200" w:before="400"/>
      </w:pPr>
      <w:r>
        <w:rPr>
          <w:rFonts w:ascii="Arial" w:cs="Arial" w:eastAsia="Arial" w:hAnsi="Arial"/>
          <w:b/>
          <w:bCs/>
          <w:color w:val="1E3A5F"/>
          <w:sz w:val="34"/>
          <w:szCs w:val="34"/>
        </w:rPr>
        <w:t xml:space="preserve">5. Key Terms Glossary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Term</w:t>
            </w:r>
          </w:p>
        </w:tc>
        <w:tc>
          <w:tcPr>
            <w:tcW w:type="dxa" w:w="6560"/>
            <w:tcBorders>
              <w:top w:val="single" w:color="1E3A5F" w:sz="1"/>
              <w:left w:val="single" w:color="1E3A5F" w:sz="1"/>
              <w:bottom w:val="single" w:color="1E3A5F" w:sz="1"/>
              <w:right w:val="single" w:color="1E3A5F" w:sz="1"/>
            </w:tcBorders>
            <w:shd w:fill="1E3A5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Definition</w:t>
            </w:r>
          </w:p>
        </w:tc>
      </w:tr>
      <w:tr>
        <w:tc>
          <w:tcPr>
            <w:tcW w:type="dxa" w:w="2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Buy the Rumour, Sell the Fact</w:t>
            </w:r>
          </w:p>
        </w:tc>
        <w:tc>
          <w:tcPr>
            <w:tcW w:type="dxa" w:w="65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A market principle where prices rise on expectations before an event and fall once the event is confirmed, as the catalyst is exhausted.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Pre-Earnings Run-Up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tendency of stocks to appreciate in price in the days or weeks before a quarterly earnings announcement.</w:t>
            </w:r>
          </w:p>
        </w:tc>
      </w:tr>
      <w:tr>
        <w:tc>
          <w:tcPr>
            <w:tcW w:type="dxa" w:w="2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Wyckoff Accumulation</w:t>
            </w:r>
          </w:p>
        </w:tc>
        <w:tc>
          <w:tcPr>
            <w:tcW w:type="dxa" w:w="65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A phase in Wyckoff market cycle theory where institutional investors quietly accumulate shares at low prices before a markup phase.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Remora Strategy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personal trading philosophy of identifying and positioning alongside institutional accumulation rather than competing with it.</w:t>
            </w:r>
          </w:p>
        </w:tc>
      </w:tr>
      <w:tr>
        <w:tc>
          <w:tcPr>
            <w:tcW w:type="dxa" w:w="2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Volume-Price Divergence</w:t>
            </w:r>
          </w:p>
        </w:tc>
        <w:tc>
          <w:tcPr>
            <w:tcW w:type="dxa" w:w="65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A condition where trading volume is significantly above baseline but price movement is suppressed — the fingerprint of institutional accumulation.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RSI (Relative Strength Index)</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momentum oscillator that measures the speed and change of price movements on a 0–100 scale. Values below 40–45 indicate oversold conditions.</w:t>
            </w:r>
          </w:p>
        </w:tc>
      </w:tr>
      <w:tr>
        <w:tc>
          <w:tcPr>
            <w:tcW w:type="dxa" w:w="2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T-Minus Window</w:t>
            </w:r>
          </w:p>
        </w:tc>
        <w:tc>
          <w:tcPr>
            <w:tcW w:type="dxa" w:w="65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The countdown period before an earnings announcement. T-5 means 5 trading days before the announcement date.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State Machine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software design pattern where a system can be in exactly one of a defined set of states at any time, transitioning based on specific triggers.</w:t>
            </w:r>
          </w:p>
        </w:tc>
      </w:tr>
      <w:tr>
        <w:tc>
          <w:tcPr>
            <w:tcW w:type="dxa" w:w="2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Trailing Stop-Loss</w:t>
            </w:r>
          </w:p>
        </w:tc>
        <w:tc>
          <w:tcPr>
            <w:tcW w:type="dxa" w:w="65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A stop-loss order that automatically adjusts upward as the price moves in the trader’s favour, locking in profits while limiting downside.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Sell on Fact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tendency for prices to drop after a positive earnings announcement, as the good news was already priced in during the pre-announcement run-up.</w:t>
            </w:r>
          </w:p>
        </w:tc>
      </w:tr>
    </w:tbl>
    <w:p>
      <w:pPr>
        <w:spacing w:after="80" w:before="80"/>
      </w:pPr>
      <w:r>
        <w:t xml:space="preserve"/>
      </w:r>
    </w:p>
    <w:p>
      <w:pPr>
        <w:spacing w:after="80" w:before="80"/>
      </w:pPr>
      <w:r>
        <w:t xml:space="preserve"/>
      </w:r>
    </w:p>
    <w:p>
      <w:pPr>
        <w:pBdr>
          <w:top w:val="single" w:color="CCCCCC" w:sz="4" w:space="1"/>
        </w:pBdr>
        <w:spacing w:after="120" w:before="240"/>
        <w:jc w:val="center"/>
      </w:pPr>
      <w:r>
        <w:rPr>
          <w:rFonts w:ascii="Arial" w:cs="Arial" w:eastAsia="Arial" w:hAnsi="Arial"/>
          <w:i/>
          <w:iCs/>
          <w:color w:val="888888"/>
          <w:sz w:val="18"/>
          <w:szCs w:val="18"/>
        </w:rPr>
        <w:t xml:space="preserve">This document is a living specification. It should be updated after each quarter with observed signal accuracy, filter performance, and any refinements to thresholds.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E3A5F"/>
      <w:sz w:val="34"/>
      <w:szCs w:val="34"/>
    </w:rPr>
  </w:style>
  <w:style w:type="paragraph" w:styleId="Heading2">
    <w:name w:val="Heading 2"/>
    <w:basedOn w:val="Normal"/>
    <w:next w:val="Normal"/>
    <w:qFormat/>
    <w:pPr>
      <w:spacing w:after="160" w:before="300"/>
      <w:outlineLvl w:val="1"/>
    </w:pPr>
    <w:rPr>
      <w:rFonts w:ascii="Arial" w:cs="Arial" w:eastAsia="Arial" w:hAnsi="Arial"/>
      <w:b/>
      <w:bCs/>
      <w:color w:val="2E5F8A"/>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3A7AB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2026-04-03T20:47:49.063Z</dcterms:created>
  <dcterms:modified xsi:type="dcterms:W3CDTF">2026-04-03T20:47:49.064Z</dcterms:modified>
</cp:coreProperties>
</file>

<file path=docProps/custom.xml><?xml version="1.0" encoding="utf-8"?>
<Properties xmlns="http://schemas.openxmlformats.org/officeDocument/2006/custom-properties" xmlns:vt="http://schemas.openxmlformats.org/officeDocument/2006/docPropsVTypes"/>
</file>