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SYNOPSIS REPORT</w:t>
      </w:r>
    </w:p>
    <w:p>
      <w:pPr>
        <w:spacing w:after="160" w:line="360" w:lineRule="auto"/>
      </w:pPr>
      <w:r>
        <w:rPr>
          <w:b w:val="0"/>
          <w:sz w:val="24"/>
        </w:rPr>
      </w:r>
    </w:p>
    <w:p>
      <w:pPr>
        <w:jc w:val="center"/>
      </w:pPr>
      <w:r>
        <w:rPr>
          <w:b/>
          <w:sz w:val="32"/>
        </w:rPr>
        <w:t>QGAN-Based Medical Image Super-Resolution and Secure Web Gallery</w:t>
      </w:r>
    </w:p>
    <w:p>
      <w:pPr>
        <w:spacing w:after="160" w:line="360" w:lineRule="auto"/>
      </w:pPr>
      <w:r>
        <w:rPr>
          <w:b w:val="0"/>
          <w:sz w:val="24"/>
        </w:rPr>
      </w:r>
    </w:p>
    <w:p>
      <w:pPr>
        <w:spacing w:after="160" w:line="360" w:lineRule="auto"/>
      </w:pPr>
      <w:r>
        <w:rPr>
          <w:b w:val="0"/>
          <w:sz w:val="24"/>
        </w:rPr>
        <w:t>Prepared For: Academic Submission</w:t>
      </w:r>
    </w:p>
    <w:p>
      <w:pPr>
        <w:spacing w:after="160" w:line="360" w:lineRule="auto"/>
      </w:pPr>
      <w:r>
        <w:rPr>
          <w:b w:val="0"/>
          <w:sz w:val="24"/>
        </w:rPr>
        <w:t>Date: 14 April 2026</w:t>
      </w:r>
    </w:p>
    <w:p>
      <w:pPr>
        <w:spacing w:after="160" w:line="360" w:lineRule="auto"/>
      </w:pPr>
      <w:r>
        <w:rPr>
          <w:b w:val="0"/>
          <w:sz w:val="24"/>
        </w:rPr>
      </w:r>
    </w:p>
    <w:p>
      <w:pPr>
        <w:pStyle w:val="Heading1"/>
      </w:pPr>
      <w:r>
        <w:t>1. Broad Area of Work</w:t>
      </w:r>
    </w:p>
    <w:p>
      <w:pPr>
        <w:spacing w:after="160" w:line="360" w:lineRule="auto"/>
      </w:pPr>
      <w:r>
        <w:rPr>
          <w:b w:val="0"/>
          <w:sz w:val="24"/>
        </w:rPr>
        <w:t>This project belongs to the intersection of Medical Image Processing, Artificial Intelligence, and Applied Web Engineering for healthcare-oriented tools. The technical focus is on super-resolution of medical images using a QGAN-inspired approach, while the practical focus is on building an end-to-end usable system for upload, enhancement, storage, and retrieval.</w:t>
      </w:r>
    </w:p>
    <w:p>
      <w:pPr>
        <w:spacing w:after="160" w:line="360" w:lineRule="auto"/>
      </w:pPr>
      <w:r>
        <w:rPr>
          <w:b w:val="0"/>
          <w:sz w:val="24"/>
        </w:rPr>
        <w:t>Unlike many proof-of-concept AI projects that stop at training scripts, this work includes complete software lifecycle elements: data intake, model inference, user identity handling, admin monitoring, metadata persistence, and downloadable outputs. The broad area is therefore not only model design but also responsible integration of AI into a reliable application workflow.</w:t>
      </w:r>
    </w:p>
    <w:p>
      <w:pPr>
        <w:spacing w:after="160" w:line="360" w:lineRule="auto"/>
      </w:pPr>
      <w:r>
        <w:rPr>
          <w:b w:val="0"/>
          <w:sz w:val="24"/>
        </w:rPr>
        <w:t>From a research perspective, the project is aligned with current trends in GAN-based medical enhancement and quantum-inspired generation studies. From an implementation perspective, it uses a robust software stack (FastAPI, SQLAlchemy, PyTorch, Jinja2) and supports practical medical file pathways including DICOM and NIfTI conversion to preview-compatible images for processing and display.</w:t>
      </w:r>
    </w:p>
    <w:p>
      <w:r>
        <w:br w:type="page"/>
      </w:r>
    </w:p>
    <w:p>
      <w:pPr>
        <w:pStyle w:val="Heading1"/>
      </w:pPr>
      <w:r>
        <w:t>Table of Contents</w:t>
      </w:r>
    </w:p>
    <w:tbl>
      <w:tblPr>
        <w:tblW w:type="auto" w:w="0"/>
        <w:tblLook w:firstColumn="1" w:firstRow="1" w:lastColumn="0" w:lastRow="0" w:noHBand="0" w:noVBand="1" w:val="04A0"/>
      </w:tblPr>
      <w:tblGrid>
        <w:gridCol w:w="3120"/>
        <w:gridCol w:w="3120"/>
        <w:gridCol w:w="3120"/>
      </w:tblGrid>
      <w:tr>
        <w:tc>
          <w:tcPr>
            <w:tcW w:type="dxa" w:w="3120"/>
          </w:tcPr>
          <w:p>
            <w:r>
              <w:t>S. No.</w:t>
            </w:r>
          </w:p>
        </w:tc>
        <w:tc>
          <w:tcPr>
            <w:tcW w:type="dxa" w:w="3120"/>
          </w:tcPr>
          <w:p>
            <w:r>
              <w:t>Section</w:t>
            </w:r>
          </w:p>
        </w:tc>
        <w:tc>
          <w:tcPr>
            <w:tcW w:type="dxa" w:w="3120"/>
          </w:tcPr>
          <w:p>
            <w:r>
              <w:t>Page No.</w:t>
            </w:r>
          </w:p>
        </w:tc>
      </w:tr>
      <w:tr>
        <w:tc>
          <w:tcPr>
            <w:tcW w:type="dxa" w:w="3120"/>
          </w:tcPr>
          <w:p>
            <w:r>
              <w:t>1</w:t>
            </w:r>
          </w:p>
        </w:tc>
        <w:tc>
          <w:tcPr>
            <w:tcW w:type="dxa" w:w="3120"/>
          </w:tcPr>
          <w:p>
            <w:r>
              <w:t>Broad Area of Work</w:t>
            </w:r>
          </w:p>
        </w:tc>
        <w:tc>
          <w:tcPr>
            <w:tcW w:type="dxa" w:w="3120"/>
          </w:tcPr>
          <w:p>
            <w:r>
              <w:t>1</w:t>
            </w:r>
          </w:p>
        </w:tc>
      </w:tr>
      <w:tr>
        <w:tc>
          <w:tcPr>
            <w:tcW w:type="dxa" w:w="3120"/>
          </w:tcPr>
          <w:p>
            <w:r>
              <w:t>2</w:t>
            </w:r>
          </w:p>
        </w:tc>
        <w:tc>
          <w:tcPr>
            <w:tcW w:type="dxa" w:w="3120"/>
          </w:tcPr>
          <w:p>
            <w:r>
              <w:t>Introduction</w:t>
            </w:r>
          </w:p>
        </w:tc>
        <w:tc>
          <w:tcPr>
            <w:tcW w:type="dxa" w:w="3120"/>
          </w:tcPr>
          <w:p>
            <w:r>
              <w:t>2</w:t>
            </w:r>
          </w:p>
        </w:tc>
      </w:tr>
      <w:tr>
        <w:tc>
          <w:tcPr>
            <w:tcW w:type="dxa" w:w="3120"/>
          </w:tcPr>
          <w:p>
            <w:r>
              <w:t>3</w:t>
            </w:r>
          </w:p>
        </w:tc>
        <w:tc>
          <w:tcPr>
            <w:tcW w:type="dxa" w:w="3120"/>
          </w:tcPr>
          <w:p>
            <w:r>
              <w:t>Literature Survey / Work done in the field of proposed work</w:t>
            </w:r>
          </w:p>
        </w:tc>
        <w:tc>
          <w:tcPr>
            <w:tcW w:type="dxa" w:w="3120"/>
          </w:tcPr>
          <w:p>
            <w:r>
              <w:t>5</w:t>
            </w:r>
          </w:p>
        </w:tc>
      </w:tr>
      <w:tr>
        <w:tc>
          <w:tcPr>
            <w:tcW w:type="dxa" w:w="3120"/>
          </w:tcPr>
          <w:p>
            <w:r>
              <w:t>4</w:t>
            </w:r>
          </w:p>
        </w:tc>
        <w:tc>
          <w:tcPr>
            <w:tcW w:type="dxa" w:w="3120"/>
          </w:tcPr>
          <w:p>
            <w:r>
              <w:t>Existing Gaps</w:t>
            </w:r>
          </w:p>
        </w:tc>
        <w:tc>
          <w:tcPr>
            <w:tcW w:type="dxa" w:w="3120"/>
          </w:tcPr>
          <w:p>
            <w:r>
              <w:t>11</w:t>
            </w:r>
          </w:p>
        </w:tc>
      </w:tr>
      <w:tr>
        <w:tc>
          <w:tcPr>
            <w:tcW w:type="dxa" w:w="3120"/>
          </w:tcPr>
          <w:p>
            <w:r>
              <w:t>5</w:t>
            </w:r>
          </w:p>
        </w:tc>
        <w:tc>
          <w:tcPr>
            <w:tcW w:type="dxa" w:w="3120"/>
          </w:tcPr>
          <w:p>
            <w:r>
              <w:t>Objectives of the proposed work</w:t>
            </w:r>
          </w:p>
        </w:tc>
        <w:tc>
          <w:tcPr>
            <w:tcW w:type="dxa" w:w="3120"/>
          </w:tcPr>
          <w:p>
            <w:r>
              <w:t>14</w:t>
            </w:r>
          </w:p>
        </w:tc>
      </w:tr>
      <w:tr>
        <w:tc>
          <w:tcPr>
            <w:tcW w:type="dxa" w:w="3120"/>
          </w:tcPr>
          <w:p>
            <w:r>
              <w:t>6</w:t>
            </w:r>
          </w:p>
        </w:tc>
        <w:tc>
          <w:tcPr>
            <w:tcW w:type="dxa" w:w="3120"/>
          </w:tcPr>
          <w:p>
            <w:r>
              <w:t>Proposed Methodologies</w:t>
            </w:r>
          </w:p>
        </w:tc>
        <w:tc>
          <w:tcPr>
            <w:tcW w:type="dxa" w:w="3120"/>
          </w:tcPr>
          <w:p>
            <w:r>
              <w:t>16</w:t>
            </w:r>
          </w:p>
        </w:tc>
      </w:tr>
      <w:tr>
        <w:tc>
          <w:tcPr>
            <w:tcW w:type="dxa" w:w="3120"/>
          </w:tcPr>
          <w:p>
            <w:r>
              <w:t>7</w:t>
            </w:r>
          </w:p>
        </w:tc>
        <w:tc>
          <w:tcPr>
            <w:tcW w:type="dxa" w:w="3120"/>
          </w:tcPr>
          <w:p>
            <w:r>
              <w:t>Expected Outcome of the proposed work</w:t>
            </w:r>
          </w:p>
        </w:tc>
        <w:tc>
          <w:tcPr>
            <w:tcW w:type="dxa" w:w="3120"/>
          </w:tcPr>
          <w:p>
            <w:r>
              <w:t>22</w:t>
            </w:r>
          </w:p>
        </w:tc>
      </w:tr>
      <w:tr>
        <w:tc>
          <w:tcPr>
            <w:tcW w:type="dxa" w:w="3120"/>
          </w:tcPr>
          <w:p>
            <w:r>
              <w:t>8</w:t>
            </w:r>
          </w:p>
        </w:tc>
        <w:tc>
          <w:tcPr>
            <w:tcW w:type="dxa" w:w="3120"/>
          </w:tcPr>
          <w:p>
            <w:r>
              <w:t>Future scope of the work</w:t>
            </w:r>
          </w:p>
        </w:tc>
        <w:tc>
          <w:tcPr>
            <w:tcW w:type="dxa" w:w="3120"/>
          </w:tcPr>
          <w:p>
            <w:r>
              <w:t>23</w:t>
            </w:r>
          </w:p>
        </w:tc>
      </w:tr>
      <w:tr>
        <w:tc>
          <w:tcPr>
            <w:tcW w:type="dxa" w:w="3120"/>
          </w:tcPr>
          <w:p>
            <w:r>
              <w:t>9</w:t>
            </w:r>
          </w:p>
        </w:tc>
        <w:tc>
          <w:tcPr>
            <w:tcW w:type="dxa" w:w="3120"/>
          </w:tcPr>
          <w:p>
            <w:r>
              <w:t>References</w:t>
            </w:r>
          </w:p>
        </w:tc>
        <w:tc>
          <w:tcPr>
            <w:tcW w:type="dxa" w:w="3120"/>
          </w:tcPr>
          <w:p>
            <w:r>
              <w:t>25</w:t>
            </w:r>
          </w:p>
        </w:tc>
      </w:tr>
    </w:tbl>
    <w:p>
      <w:pPr>
        <w:spacing w:after="160" w:line="360" w:lineRule="auto"/>
      </w:pPr>
      <w:r>
        <w:rPr>
          <w:b w:val="0"/>
          <w:sz w:val="24"/>
        </w:rPr>
        <w:t>Note: This synopsis is expanded with implementation-level project details and structured to provide approximately 30 pages of submission-ready content in concise academic language.</w:t>
      </w:r>
    </w:p>
    <w:p>
      <w:r>
        <w:br w:type="page"/>
      </w:r>
    </w:p>
    <w:p>
      <w:pPr>
        <w:pStyle w:val="Heading1"/>
      </w:pPr>
      <w:r>
        <w:t>2. Introduction</w:t>
      </w:r>
    </w:p>
    <w:p>
      <w:pPr>
        <w:spacing w:after="160" w:line="360" w:lineRule="auto"/>
      </w:pPr>
      <w:r>
        <w:rPr>
          <w:b w:val="0"/>
          <w:sz w:val="24"/>
        </w:rPr>
        <w:t>Medical imaging is one of the most information-rich and decision-critical components of modern healthcare. Radiological workflows in CT, MRI, X-ray, and related modalities depend on image clarity to identify subtle features such as lesions, tissue boundaries, micro-calcifications, structural asymmetry, and progression markers. In many real settings, scan quality may be constrained by equipment limitations, scanning time, patient movement, dose constraints, or transmission compression.</w:t>
      </w:r>
    </w:p>
    <w:p>
      <w:pPr>
        <w:spacing w:after="160" w:line="360" w:lineRule="auto"/>
      </w:pPr>
      <w:r>
        <w:rPr>
          <w:b w:val="0"/>
          <w:sz w:val="24"/>
        </w:rPr>
        <w:t>Image super-resolution addresses this challenge by reconstructing high-resolution detail from low-resolution observations. In the deep learning era, GANs have shown significant potential for generating visually realistic and structurally faithful enhancements. However, healthcare deployment requires more than visual quality: systems must also be secure, auditable, easy to use, and integrated with user workflows.</w:t>
      </w:r>
    </w:p>
    <w:p>
      <w:r>
        <w:br w:type="page"/>
      </w:r>
    </w:p>
    <w:p>
      <w:pPr>
        <w:spacing w:after="160" w:line="360" w:lineRule="auto"/>
      </w:pPr>
      <w:r>
        <w:rPr>
          <w:b w:val="0"/>
          <w:sz w:val="24"/>
        </w:rPr>
        <w:t>This project presents a QGAN-inspired medical image super-resolution web platform that combines model inference with secure application features. The platform supports user registration, login, profile management, password reset flow, upload validation, medical-format handling, result persistence, gallery exploration, and admin visibility. This transforms the project from a model demo into a practical AI application prototype.</w:t>
      </w:r>
    </w:p>
    <w:p>
      <w:pPr>
        <w:spacing w:after="160" w:line="360" w:lineRule="auto"/>
      </w:pPr>
      <w:r>
        <w:rPr>
          <w:b w:val="0"/>
          <w:sz w:val="24"/>
        </w:rPr>
        <w:t>The implemented pipeline is intentionally modular. If a trained generator checkpoint exists, the system performs model-based super-resolution. If the model checkpoint is missing or unavailable, the system degrades gracefully with bicubic upscaling instead of failing, preserving usability and making the platform robust during iterative development and training cycles.</w:t>
      </w:r>
    </w:p>
    <w:p>
      <w:pPr>
        <w:spacing w:after="160" w:line="360" w:lineRule="auto"/>
      </w:pPr>
      <w:r>
        <w:rPr>
          <w:b w:val="0"/>
          <w:sz w:val="24"/>
        </w:rPr>
        <w:t>A second major layer is the medical-likeness classifier. It uses a dataset-trainable ResNet18 binary classifier when a custom checkpoint is present. If that checkpoint is absent, the system uses fallback heuristics based on ImageNet label filtering and scan-like color profile checks. This dual strategy improves resilience while encouraging progressive quality improvement through dedicated dataset training.</w:t>
      </w:r>
    </w:p>
    <w:p>
      <w:r>
        <w:br w:type="page"/>
      </w:r>
    </w:p>
    <w:p>
      <w:pPr>
        <w:spacing w:after="160" w:line="360" w:lineRule="auto"/>
      </w:pPr>
      <w:r>
        <w:rPr>
          <w:b w:val="0"/>
          <w:sz w:val="24"/>
        </w:rPr>
        <w:t>Project significance lies in bridging research intent and deployment reality. The project demonstrates how medical AI pipelines can be operationalized as usable software with identity-bound result ownership and metadata tracking. Features such as searchable gallery, patient ID tagging, and admin overview directly support practical analysis and management use cases in academic labs, pilot clinical research environments, or healthcare AI demonstrations.</w:t>
      </w:r>
    </w:p>
    <w:p>
      <w:pPr>
        <w:spacing w:after="160" w:line="360" w:lineRule="auto"/>
      </w:pPr>
      <w:r>
        <w:rPr>
          <w:b w:val="0"/>
          <w:sz w:val="24"/>
        </w:rPr>
        <w:t>The project also maintains transparent technical positioning: it is QGAN-inspired with optional hybrid refinement support in architecture, but not falsely presented as fully quantum-trained production logic. This honesty improves scientific credibility and provides a realistic roadmap for future hybrid quantum-classical expansion.</w:t>
      </w:r>
    </w:p>
    <w:p>
      <w:r>
        <w:br w:type="page"/>
      </w:r>
    </w:p>
    <w:p>
      <w:pPr>
        <w:pStyle w:val="Heading1"/>
      </w:pPr>
      <w:r>
        <w:t>3. Literature Survey / Work done in the field of proposed work</w:t>
      </w:r>
    </w:p>
    <w:p>
      <w:pPr>
        <w:spacing w:after="160" w:line="360" w:lineRule="auto"/>
      </w:pPr>
      <w:r>
        <w:rPr>
          <w:b w:val="0"/>
          <w:sz w:val="24"/>
        </w:rPr>
        <w:t>The literature landscape relevant to this project can be divided into three streams: classical medical super-resolution GANs, quantum-inspired or hybrid quantum-classical generative models, and practical system-level AI deployment studies. Most high-impact work focuses either on algorithm novelty or benchmark metrics, while fewer works provide complete real-world application flow.</w:t>
      </w:r>
    </w:p>
    <w:p>
      <w:pPr>
        <w:spacing w:after="160" w:line="360" w:lineRule="auto"/>
      </w:pPr>
      <w:r>
        <w:rPr>
          <w:b w:val="0"/>
          <w:sz w:val="24"/>
        </w:rPr>
        <w:t>Recent research repeatedly confirms that GAN-based super-resolution can outperform interpolation-only baselines when trained with stable losses and clinically meaningful data. However, training instability, hallucinated details, and domain shift remain key concerns in healthcare deployment. This motivates architectures that balance realism with structural integrity, often through content loss and careful discriminator design.</w:t>
      </w:r>
    </w:p>
    <w:p>
      <w:r>
        <w:br w:type="page"/>
      </w:r>
    </w:p>
    <w:p>
      <w:pPr>
        <w:spacing w:after="160" w:line="360" w:lineRule="auto"/>
      </w:pPr>
      <w:r>
        <w:rPr>
          <w:b w:val="0"/>
          <w:sz w:val="24"/>
        </w:rPr>
        <w:t>Quantum generative learning literature has gained momentum due to potential expressiveness and compact representation claims. The study by Khatun et al. on high-resolution medical image generation is highly relevant because it frames how hybrid quantum-classical designs can target medical imaging limitations such as diversity and training stability. The work also emphasizes metric-based comparison and careful representation strategies.</w:t>
      </w:r>
    </w:p>
    <w:p>
      <w:pPr>
        <w:spacing w:after="160" w:line="360" w:lineRule="auto"/>
      </w:pPr>
      <w:r>
        <w:rPr>
          <w:b w:val="0"/>
          <w:sz w:val="24"/>
        </w:rPr>
        <w:t>At the same time, practical constraints are visible across the field: hardware availability, reproducibility, scalability, and training cost still limit broad adoption of truly quantum pipelines. For this reason, many projects adopt quantum-inspired design principles while maintaining classical training/inference compatibility. The present project aligns with this pragmatic trajectory.</w:t>
      </w:r>
    </w:p>
    <w:p>
      <w:r>
        <w:br w:type="page"/>
      </w:r>
    </w:p>
    <w:p>
      <w:pPr>
        <w:spacing w:after="160" w:line="360" w:lineRule="auto"/>
      </w:pPr>
      <w:r>
        <w:rPr>
          <w:b w:val="0"/>
          <w:sz w:val="24"/>
        </w:rPr>
        <w:t>Classical comparative studies in medical GANs highlight a critical lesson: there is no universal best architecture across all modalities and tasks. Performance depends on whether the target is synthesis, inpainting, denoising, segmentation support, or super-resolution. Therefore, evaluation protocols must match intended use and data characteristics.</w:t>
      </w:r>
    </w:p>
    <w:p>
      <w:pPr>
        <w:spacing w:after="160" w:line="360" w:lineRule="auto"/>
      </w:pPr>
      <w:r>
        <w:rPr>
          <w:b w:val="0"/>
          <w:sz w:val="24"/>
        </w:rPr>
        <w:t>In medical super-resolution research, common evaluation metrics include PSNR and SSIM for fidelity and structure preservation, while FID may be used for distributional realism. Newer studies also include expert qualitative assessment to reduce overreliance on numeric metrics. This project acknowledges these standards and identifies full metric integration as an active enhancement opportunity.</w:t>
      </w:r>
    </w:p>
    <w:p>
      <w:r>
        <w:br w:type="page"/>
      </w:r>
    </w:p>
    <w:p>
      <w:pPr>
        <w:spacing w:after="160" w:line="360" w:lineRule="auto"/>
      </w:pPr>
      <w:r>
        <w:rPr>
          <w:b w:val="0"/>
          <w:sz w:val="24"/>
        </w:rPr>
        <w:t>Another trend is the use of attention mechanisms, multi-scale feature fusion, and memory-aware designs for better reconstruction of complex anatomical details. Such methods often improve benchmark results but increase complexity and training cost. For a deployment-oriented prototype, a balanced architecture with residual blocks and stable loss weighting may be preferable in early phases.</w:t>
      </w:r>
    </w:p>
    <w:p>
      <w:pPr>
        <w:spacing w:after="160" w:line="360" w:lineRule="auto"/>
      </w:pPr>
      <w:r>
        <w:rPr>
          <w:b w:val="0"/>
          <w:sz w:val="24"/>
        </w:rPr>
        <w:t>The current project follows that practical path by implementing a residual-generator and convolutional discriminator pipeline, while keeping optional hooks for hybrid refinement experimentation. This keeps inference manageable and code maintainable for iterative improvements.</w:t>
      </w:r>
    </w:p>
    <w:p>
      <w:r>
        <w:br w:type="page"/>
      </w:r>
    </w:p>
    <w:p>
      <w:pPr>
        <w:spacing w:after="160" w:line="360" w:lineRule="auto"/>
      </w:pPr>
      <w:r>
        <w:rPr>
          <w:b w:val="0"/>
          <w:sz w:val="24"/>
        </w:rPr>
        <w:t>An important practical gap in literature-to-product translation is system integration. Many papers do not discuss user authentication, metadata governance, upload format variability, secure route design, or persistent ownership models for generated outputs. Yet these are mandatory for any real usage environment. This project contributes by implementing these software concerns directly.</w:t>
      </w:r>
    </w:p>
    <w:p>
      <w:pPr>
        <w:spacing w:after="160" w:line="360" w:lineRule="auto"/>
      </w:pPr>
      <w:r>
        <w:rPr>
          <w:b w:val="0"/>
          <w:sz w:val="24"/>
        </w:rPr>
        <w:t>By combining AI enhancement with user and admin workflows, the project provides a valuable intermediate benchmark between research prototype and production-grade healthcare software. This integrated design supports future evaluations, user studies, and model iteration under realistic operational constraints.</w:t>
      </w:r>
    </w:p>
    <w:p>
      <w:r>
        <w:br w:type="page"/>
      </w:r>
    </w:p>
    <w:p>
      <w:pPr>
        <w:spacing w:after="160" w:line="360" w:lineRule="auto"/>
      </w:pPr>
      <w:r>
        <w:rPr>
          <w:b w:val="0"/>
          <w:sz w:val="24"/>
        </w:rPr>
        <w:t>In summary, literature strongly supports the scientific value of GAN-based super-resolution and indicates potential for quantum-inspired evolution. The project therefore stands as a credible and grounded implementation: research-informed, deployment-aware, and transparent about current capabilities versus future research goals.</w:t>
      </w:r>
    </w:p>
    <w:p>
      <w:r>
        <w:br w:type="page"/>
      </w:r>
    </w:p>
    <w:p>
      <w:pPr>
        <w:pStyle w:val="Heading1"/>
      </w:pPr>
      <w:r>
        <w:t>4. Existing Gaps</w:t>
      </w:r>
    </w:p>
    <w:p>
      <w:pPr>
        <w:spacing w:after="160" w:line="360" w:lineRule="auto"/>
      </w:pPr>
      <w:r>
        <w:rPr>
          <w:b w:val="0"/>
          <w:sz w:val="24"/>
        </w:rPr>
        <w:t>Despite substantial progress in medical image enhancement, multiple practical and research gaps remain unresolved. The current project also identifies implementation-level gaps that are important for thesis-quality honesty and future planning.</w:t>
      </w:r>
    </w:p>
    <w:p>
      <w:pPr>
        <w:spacing w:after="160" w:line="360" w:lineRule="auto"/>
      </w:pPr>
      <w:r>
        <w:rPr>
          <w:b w:val="0"/>
          <w:sz w:val="24"/>
        </w:rPr>
        <w:t>Gap 1: Full evaluation pipeline is not yet automated. The repository currently focuses on training and inference workflows, but formalized PSNR/SSIM/FID scripts integrated with experiment logging and versioned benchmark reports are pending.</w:t>
      </w:r>
    </w:p>
    <w:p>
      <w:pPr>
        <w:spacing w:after="160" w:line="360" w:lineRule="auto"/>
      </w:pPr>
      <w:r>
        <w:rPr>
          <w:b w:val="0"/>
          <w:sz w:val="24"/>
        </w:rPr>
        <w:t>Gap 2: Quantum integration is architectural but not yet end-to-end validated at production scale. Optional hybrid refinement components exist, yet large-scope comparative experiments with strict reproducibility are future work.</w:t>
      </w:r>
    </w:p>
    <w:p>
      <w:r>
        <w:br w:type="page"/>
      </w:r>
    </w:p>
    <w:p>
      <w:pPr>
        <w:spacing w:after="160" w:line="360" w:lineRule="auto"/>
      </w:pPr>
      <w:r>
        <w:rPr>
          <w:b w:val="0"/>
          <w:sz w:val="24"/>
        </w:rPr>
        <w:t>Gap 3: Clinical validation remains open. While outputs are visually enhanced and metadata-aware, expert radiologist assessment protocols and task-based utility studies are not yet part of the implementation artifacts.</w:t>
      </w:r>
    </w:p>
    <w:p>
      <w:pPr>
        <w:spacing w:after="160" w:line="360" w:lineRule="auto"/>
      </w:pPr>
      <w:r>
        <w:rPr>
          <w:b w:val="0"/>
          <w:sz w:val="24"/>
        </w:rPr>
        <w:t>Gap 4: Security maturity can be increased. Current app security includes salted password hashing, session middleware, and token-based reset flow; however, production-grade controls such as audit trails, signed URL policies, stricter upload sandboxing, and compliance evidence capture are future enhancements.</w:t>
      </w:r>
    </w:p>
    <w:p>
      <w:pPr>
        <w:spacing w:after="160" w:line="360" w:lineRule="auto"/>
      </w:pPr>
      <w:r>
        <w:rPr>
          <w:b w:val="0"/>
          <w:sz w:val="24"/>
        </w:rPr>
        <w:t>Gap 5: Dataset governance and modality-specific standards are still evolving. The training scripts are functional, but comprehensive dataset cards, provenance logs, and modality-wise augmentation governance are not fully documented.</w:t>
      </w:r>
    </w:p>
    <w:p>
      <w:r>
        <w:br w:type="page"/>
      </w:r>
    </w:p>
    <w:p>
      <w:pPr>
        <w:spacing w:after="160" w:line="360" w:lineRule="auto"/>
      </w:pPr>
      <w:r>
        <w:rPr>
          <w:b w:val="0"/>
          <w:sz w:val="24"/>
        </w:rPr>
        <w:t>Gap 6: Strictness policy in medical validation can be made configurable. The current pipeline computes medical-likeness and provides warning-aware behavior instead of hard rejection in all uncertain cases. This is useful for flexible experimentation, but clinical settings may demand stricter policy enforcement with confidence thresholds and audit reasons.</w:t>
      </w:r>
    </w:p>
    <w:p>
      <w:pPr>
        <w:spacing w:after="160" w:line="360" w:lineRule="auto"/>
      </w:pPr>
      <w:r>
        <w:rPr>
          <w:b w:val="0"/>
          <w:sz w:val="24"/>
        </w:rPr>
        <w:t>Gap 7: UI analytics and lifecycle visibility can be expanded. At present, users can search, compare, download, and delete results, but additional dashboards for model confidence trends, throughput, and quality drift tracking would improve long-term monitoring.</w:t>
      </w:r>
    </w:p>
    <w:p>
      <w:r>
        <w:br w:type="page"/>
      </w:r>
    </w:p>
    <w:p>
      <w:pPr>
        <w:pStyle w:val="Heading1"/>
      </w:pPr>
      <w:r>
        <w:t>5. Objectives of the proposed work</w:t>
      </w:r>
    </w:p>
    <w:p>
      <w:pPr>
        <w:pStyle w:val="ListNumber"/>
        <w:spacing w:line="336" w:lineRule="auto" w:after="80"/>
      </w:pPr>
      <w:r>
        <w:rPr>
          <w:sz w:val="22"/>
        </w:rPr>
        <w:t>Develop and deploy a QGAN-inspired medical image super-resolution pipeline capable of enhancing low-resolution scans.</w:t>
      </w:r>
    </w:p>
    <w:p>
      <w:pPr>
        <w:pStyle w:val="ListNumber"/>
        <w:spacing w:line="336" w:lineRule="auto" w:after="80"/>
      </w:pPr>
      <w:r>
        <w:rPr>
          <w:sz w:val="22"/>
        </w:rPr>
        <w:t>Support practical medical upload formats including PNG, JPG, JPEG, DICOM, and NIfTI.</w:t>
      </w:r>
    </w:p>
    <w:p>
      <w:pPr>
        <w:pStyle w:val="ListNumber"/>
        <w:spacing w:line="336" w:lineRule="auto" w:after="80"/>
      </w:pPr>
      <w:r>
        <w:rPr>
          <w:sz w:val="22"/>
        </w:rPr>
        <w:t>Implement secure user workflows: registration, login, logout, profile update, and token-based password reset.</w:t>
      </w:r>
    </w:p>
    <w:p>
      <w:pPr>
        <w:pStyle w:val="ListNumber"/>
        <w:spacing w:line="336" w:lineRule="auto" w:after="80"/>
      </w:pPr>
      <w:r>
        <w:rPr>
          <w:sz w:val="22"/>
        </w:rPr>
        <w:t>Store enhanced outputs with metadata fields such as description, tags, patient ID, and owner linkage.</w:t>
      </w:r>
    </w:p>
    <w:p>
      <w:pPr>
        <w:pStyle w:val="ListNumber"/>
        <w:spacing w:line="336" w:lineRule="auto" w:after="80"/>
      </w:pPr>
      <w:r>
        <w:rPr>
          <w:sz w:val="22"/>
        </w:rPr>
        <w:t>Provide searchable gallery and downloadable result management for user productivity.</w:t>
      </w:r>
    </w:p>
    <w:p>
      <w:pPr>
        <w:pStyle w:val="ListNumber"/>
        <w:spacing w:line="336" w:lineRule="auto" w:after="80"/>
      </w:pPr>
      <w:r>
        <w:rPr>
          <w:sz w:val="22"/>
        </w:rPr>
        <w:t>Offer admin dashboard visibility into users and recent uploads.</w:t>
      </w:r>
    </w:p>
    <w:p>
      <w:pPr>
        <w:pStyle w:val="ListNumber"/>
        <w:spacing w:line="336" w:lineRule="auto" w:after="80"/>
      </w:pPr>
      <w:r>
        <w:rPr>
          <w:sz w:val="22"/>
        </w:rPr>
        <w:t>Provide reproducible training scripts for both enhancement model and medical image classifier.</w:t>
      </w:r>
    </w:p>
    <w:p>
      <w:pPr>
        <w:pStyle w:val="ListNumber"/>
        <w:spacing w:line="336" w:lineRule="auto" w:after="80"/>
      </w:pPr>
      <w:r>
        <w:rPr>
          <w:sz w:val="22"/>
        </w:rPr>
        <w:t>Prepare a foundation for future benchmark-driven evaluation and hybrid quantum-classical extension.</w:t>
      </w:r>
    </w:p>
    <w:p>
      <w:pPr>
        <w:spacing w:after="160" w:line="360" w:lineRule="auto"/>
      </w:pPr>
      <w:r>
        <w:rPr>
          <w:b w:val="0"/>
          <w:sz w:val="24"/>
        </w:rPr>
        <w:t>The project objectives are designed to balance scientific depth and software usability. The key objectives are listed below and each objective is directly traceable to implemented modules in the repository.</w:t>
      </w:r>
    </w:p>
    <w:p>
      <w:r>
        <w:br w:type="page"/>
      </w:r>
    </w:p>
    <w:p>
      <w:pPr>
        <w:spacing w:after="160" w:line="360" w:lineRule="auto"/>
      </w:pPr>
      <w:r>
        <w:rPr>
          <w:b w:val="0"/>
          <w:sz w:val="24"/>
        </w:rPr>
        <w:t>Objective-wise traceability to implementation: The super-resolution objective maps to generator/discriminator modules and training scripts; secure usability objective maps to authentication routes and session handling; data governance objective maps to metadata storage and owner linkage; maintainability objective maps to modularized files for database, models, and route logic.</w:t>
      </w:r>
    </w:p>
    <w:p>
      <w:pPr>
        <w:spacing w:after="160" w:line="360" w:lineRule="auto"/>
      </w:pPr>
      <w:r>
        <w:rPr>
          <w:b w:val="0"/>
          <w:sz w:val="24"/>
        </w:rPr>
        <w:t>This objective structure ensures that project outcomes can be demonstrated not only through screenshots, but through verifiable code pathways and persistent database records.</w:t>
      </w:r>
    </w:p>
    <w:p>
      <w:r>
        <w:br w:type="page"/>
      </w:r>
    </w:p>
    <w:p>
      <w:pPr>
        <w:pStyle w:val="Heading1"/>
      </w:pPr>
      <w:r>
        <w:t>6. Proposed Methodologies</w:t>
      </w:r>
    </w:p>
    <w:p>
      <w:pPr>
        <w:spacing w:after="160" w:line="360" w:lineRule="auto"/>
      </w:pPr>
      <w:r>
        <w:rPr>
          <w:b w:val="0"/>
          <w:sz w:val="24"/>
        </w:rPr>
        <w:t>The project follows a layered methodology that integrates data preparation, model training, inference orchestration, application security, and persistence logic. This section provides exact methodology aligned with the current codebase.</w:t>
      </w:r>
    </w:p>
    <w:p>
      <w:pPr>
        <w:spacing w:after="160" w:line="360" w:lineRule="auto"/>
      </w:pPr>
      <w:r>
        <w:rPr>
          <w:b w:val="0"/>
          <w:sz w:val="24"/>
        </w:rPr>
        <w:t>6.1 Software Architecture Methodology: The backend is implemented in FastAPI for route-driven service logic. Jinja2 templates render pages for upload, gallery, authentication, and admin interfaces. Static JavaScript handles drag-and-drop upload interaction and asynchronous API integration. SQLAlchemy ORM maps Python models to SQLite persistence.</w:t>
      </w:r>
    </w:p>
    <w:p>
      <w:r>
        <w:br w:type="page"/>
      </w:r>
    </w:p>
    <w:p>
      <w:pPr>
        <w:spacing w:after="160" w:line="360" w:lineRule="auto"/>
      </w:pPr>
      <w:r>
        <w:rPr>
          <w:b w:val="0"/>
          <w:sz w:val="24"/>
        </w:rPr>
        <w:t>6.2 Data Intake and Preprocessing Methodology: Upload flow begins with extension and content-type validation. Supported extensions include .png, .jpg, .jpeg, .dcm, .nii, and .nii.gz. If a file is DICOM or NIfTI, domain libraries (pydicom, nibabel) are used to load pixel/volume data. Numerical normalization converts arrays to display-safe intensity ranges. For volume data, central slice extraction strategy is applied before RGB conversion.</w:t>
      </w:r>
    </w:p>
    <w:p>
      <w:pPr>
        <w:spacing w:after="160" w:line="360" w:lineRule="auto"/>
      </w:pPr>
      <w:r>
        <w:rPr>
          <w:b w:val="0"/>
          <w:sz w:val="24"/>
        </w:rPr>
        <w:t>A preview image is generated for non-standard image formats so that subsequent classifier and super-resolution steps can follow a consistent PIL tensor pathway. This ensures robust downstream processing independent of original modality container format.</w:t>
      </w:r>
    </w:p>
    <w:p>
      <w:r>
        <w:br w:type="page"/>
      </w:r>
    </w:p>
    <w:p>
      <w:pPr>
        <w:spacing w:after="160" w:line="360" w:lineRule="auto"/>
      </w:pPr>
      <w:r>
        <w:rPr>
          <w:b w:val="0"/>
          <w:sz w:val="24"/>
        </w:rPr>
        <w:t>6.3 Medical-Likeness Validation Methodology: The classifier module supports dual operation. Primary path uses a custom binary ResNet18 checkpoint trained on medical vs non-medical classes. Fallback path uses ImageNet category predictions with keyword-based rejection and additional saturation/grayscale profile checks. This layered approach improves practical filtering and resilience when custom checkpoint is absent.</w:t>
      </w:r>
    </w:p>
    <w:p>
      <w:pPr>
        <w:spacing w:after="160" w:line="360" w:lineRule="auto"/>
      </w:pPr>
      <w:r>
        <w:rPr>
          <w:b w:val="0"/>
          <w:sz w:val="24"/>
        </w:rPr>
        <w:t>6.4 Super-Resolution Inference Methodology: The system loads a generator checkpoint from models/qgan_generator.pt. If available, inference converts input image to tensor and runs forward pass through residual blocks, optional hybrid refinement stage, and PixelShuffle upsampling stack. Output normalization and clamping ensure valid image range before saving. If checkpoint is unavailable, bicubic interpolation fallback preserves service continuity.</w:t>
      </w:r>
    </w:p>
    <w:p>
      <w:r>
        <w:br w:type="page"/>
      </w:r>
    </w:p>
    <w:p>
      <w:pPr>
        <w:spacing w:after="160" w:line="360" w:lineRule="auto"/>
      </w:pPr>
      <w:r>
        <w:rPr>
          <w:b w:val="0"/>
          <w:sz w:val="24"/>
        </w:rPr>
        <w:t>6.5 Training Methodology for Super-Resolution: The qgan_train.py pipeline builds LR-HR pairs from high-resolution image folders. HR patches are created through crop/augmentation transforms, then downscaled and upscaled to simulate low-resolution degradations. Training uses adversarial BCE loss and L1 content loss with weighted generator objective. Generator and discriminator are updated iteratively per batch, and checkpoints are saved epoch-wise.</w:t>
      </w:r>
    </w:p>
    <w:p>
      <w:pPr>
        <w:spacing w:after="160" w:line="360" w:lineRule="auto"/>
      </w:pPr>
      <w:r>
        <w:rPr>
          <w:b w:val="0"/>
          <w:sz w:val="24"/>
        </w:rPr>
        <w:t>6.6 Training Methodology for Medical Classifier: The medical_classifier_train.py script uses structured folders for medical and non-medical images. Binary ResNet18 is optimized with BCEWithLogits loss and Adam optimizer. Optional validation loader reports loss and accuracy. Checkpoints are saved for deployment integration by the app.</w:t>
      </w:r>
    </w:p>
    <w:p>
      <w:r>
        <w:br w:type="page"/>
      </w:r>
    </w:p>
    <w:p>
      <w:pPr>
        <w:spacing w:after="160" w:line="360" w:lineRule="auto"/>
      </w:pPr>
      <w:r>
        <w:rPr>
          <w:b w:val="0"/>
          <w:sz w:val="24"/>
        </w:rPr>
        <w:t>6.7 Database and Schema Methodology: The users table includes identity, password-hash, salt, admin role flag, reset token fields, and created timestamp. The results table includes uploaded filename, original and enhanced paths, metadata fields (description/tags/patient_id), owner foreign key, and timestamp. Owner linkage enables user-specific filtering and gallery ownership checks.</w:t>
      </w:r>
    </w:p>
    <w:p>
      <w:pPr>
        <w:spacing w:after="160" w:line="360" w:lineRule="auto"/>
      </w:pPr>
      <w:r>
        <w:rPr>
          <w:b w:val="0"/>
          <w:sz w:val="24"/>
        </w:rPr>
        <w:t>The initialization layer includes compatibility migration logic that inspects and adds missing columns where required, allowing smoother schema evolution in iterative development cycles without full destructive resets.</w:t>
      </w:r>
    </w:p>
    <w:p>
      <w:r>
        <w:br w:type="page"/>
      </w:r>
    </w:p>
    <w:p>
      <w:pPr>
        <w:spacing w:after="160" w:line="360" w:lineRule="auto"/>
      </w:pPr>
      <w:r>
        <w:rPr>
          <w:b w:val="0"/>
          <w:sz w:val="24"/>
        </w:rPr>
        <w:t>6.8 Security and Access Methodology: Passwords are never stored in plain text; each password is hashed with SHA-256 and per-user salt. Session middleware stores authenticated user identity. Admin route checks role flags before data exposure. Password reset flow uses secure random token generation and bounded expiry. These controls establish a baseline security posture for academic deployment.</w:t>
      </w:r>
    </w:p>
    <w:p>
      <w:pPr>
        <w:spacing w:after="160" w:line="360" w:lineRule="auto"/>
      </w:pPr>
      <w:r>
        <w:rPr>
          <w:b w:val="0"/>
          <w:sz w:val="24"/>
        </w:rPr>
        <w:t>6.9 User Experience Methodology: Upload UX supports click and drag-drop interaction. Result panels show original and enhanced images side by side. Gallery search supports filename, description, tags, and patient ID. Delete workflows remove both files and database records. The interface is designed for low-friction iterative use during dataset testing and model validation.</w:t>
      </w:r>
    </w:p>
    <w:p>
      <w:r>
        <w:br w:type="page"/>
      </w:r>
    </w:p>
    <w:p>
      <w:pPr>
        <w:pStyle w:val="Heading1"/>
      </w:pPr>
      <w:r>
        <w:t>7. Expected Outcome of the proposed work</w:t>
      </w:r>
    </w:p>
    <w:p>
      <w:pPr>
        <w:pStyle w:val="ListNumber"/>
        <w:spacing w:line="336" w:lineRule="auto" w:after="80"/>
      </w:pPr>
      <w:r>
        <w:rPr>
          <w:sz w:val="22"/>
        </w:rPr>
        <w:t>Working upload-to-enhancement-to-storage pipeline for medical image super-resolution.</w:t>
      </w:r>
    </w:p>
    <w:p>
      <w:pPr>
        <w:pStyle w:val="ListNumber"/>
        <w:spacing w:line="336" w:lineRule="auto" w:after="80"/>
      </w:pPr>
      <w:r>
        <w:rPr>
          <w:sz w:val="22"/>
        </w:rPr>
        <w:t>Support for both common image and medical scan formats through unified processing flow.</w:t>
      </w:r>
    </w:p>
    <w:p>
      <w:pPr>
        <w:pStyle w:val="ListNumber"/>
        <w:spacing w:line="336" w:lineRule="auto" w:after="80"/>
      </w:pPr>
      <w:r>
        <w:rPr>
          <w:sz w:val="22"/>
        </w:rPr>
        <w:t>Operational user authentication with profile management and password reset.</w:t>
      </w:r>
    </w:p>
    <w:p>
      <w:pPr>
        <w:pStyle w:val="ListNumber"/>
        <w:spacing w:line="336" w:lineRule="auto" w:after="80"/>
      </w:pPr>
      <w:r>
        <w:rPr>
          <w:sz w:val="22"/>
        </w:rPr>
        <w:t>Persistent gallery with searchable metadata and per-user ownership filtering.</w:t>
      </w:r>
    </w:p>
    <w:p>
      <w:pPr>
        <w:pStyle w:val="ListNumber"/>
        <w:spacing w:line="336" w:lineRule="auto" w:after="80"/>
      </w:pPr>
      <w:r>
        <w:rPr>
          <w:sz w:val="22"/>
        </w:rPr>
        <w:t>Admin visibility for user and recent result oversight.</w:t>
      </w:r>
    </w:p>
    <w:p>
      <w:pPr>
        <w:pStyle w:val="ListNumber"/>
        <w:spacing w:line="336" w:lineRule="auto" w:after="80"/>
      </w:pPr>
      <w:r>
        <w:rPr>
          <w:sz w:val="22"/>
        </w:rPr>
        <w:t>Checkpoint-based model deployment with graceful fallback for runtime resilience.</w:t>
      </w:r>
    </w:p>
    <w:p>
      <w:pPr>
        <w:pStyle w:val="ListNumber"/>
        <w:spacing w:line="336" w:lineRule="auto" w:after="80"/>
      </w:pPr>
      <w:r>
        <w:rPr>
          <w:sz w:val="22"/>
        </w:rPr>
        <w:t>Project artifacts suitable for thesis demonstration, viva explanation, and iterative research extension.</w:t>
      </w:r>
    </w:p>
    <w:p>
      <w:pPr>
        <w:spacing w:after="160" w:line="360" w:lineRule="auto"/>
      </w:pPr>
      <w:r>
        <w:rPr>
          <w:b w:val="0"/>
          <w:sz w:val="24"/>
        </w:rPr>
        <w:t>The project is expected to deliver a complete AI-enabled medical image enhancement platform rather than a narrow model-only artifact. Outcomes are framed at technical, functional, and research-readiness levels.</w:t>
      </w:r>
    </w:p>
    <w:p>
      <w:r>
        <w:br w:type="page"/>
      </w:r>
    </w:p>
    <w:p>
      <w:pPr>
        <w:spacing w:after="160" w:line="360" w:lineRule="auto"/>
      </w:pPr>
      <w:r>
        <w:rPr>
          <w:b w:val="0"/>
          <w:sz w:val="24"/>
        </w:rPr>
        <w:t>The overall expected outcome is a reliable baseline platform that supports reproducible experiments and user-facing workflows while preserving room for stronger benchmark integration and advanced quantum-classical model evolution in future work.</w:t>
      </w:r>
    </w:p>
    <w:p>
      <w:r>
        <w:br w:type="page"/>
      </w:r>
    </w:p>
    <w:p>
      <w:pPr>
        <w:pStyle w:val="Heading1"/>
      </w:pPr>
      <w:r>
        <w:t>8. Future scope of the work</w:t>
      </w:r>
    </w:p>
    <w:p>
      <w:pPr>
        <w:pStyle w:val="ListNumber"/>
        <w:spacing w:line="336" w:lineRule="auto" w:after="80"/>
      </w:pPr>
      <w:r>
        <w:rPr>
          <w:sz w:val="22"/>
        </w:rPr>
        <w:t>Integrate PSNR/SSIM/FID evaluation suite with automated reports.</w:t>
      </w:r>
    </w:p>
    <w:p>
      <w:pPr>
        <w:pStyle w:val="ListNumber"/>
        <w:spacing w:line="336" w:lineRule="auto" w:after="80"/>
      </w:pPr>
      <w:r>
        <w:rPr>
          <w:sz w:val="22"/>
        </w:rPr>
        <w:t>Perform controlled benchmark comparisons against bicubic and additional SR baselines.</w:t>
      </w:r>
    </w:p>
    <w:p>
      <w:pPr>
        <w:pStyle w:val="ListNumber"/>
        <w:spacing w:line="336" w:lineRule="auto" w:after="80"/>
      </w:pPr>
      <w:r>
        <w:rPr>
          <w:sz w:val="22"/>
        </w:rPr>
        <w:t>Expand quantum-classical experiments and validate hybrid configurations.</w:t>
      </w:r>
    </w:p>
    <w:p>
      <w:pPr>
        <w:pStyle w:val="ListNumber"/>
        <w:spacing w:line="336" w:lineRule="auto" w:after="80"/>
      </w:pPr>
      <w:r>
        <w:rPr>
          <w:sz w:val="22"/>
        </w:rPr>
        <w:t>Add explainability and confidence annotations for enhanced outputs.</w:t>
      </w:r>
    </w:p>
    <w:p>
      <w:pPr>
        <w:pStyle w:val="ListNumber"/>
        <w:spacing w:line="336" w:lineRule="auto" w:after="80"/>
      </w:pPr>
      <w:r>
        <w:rPr>
          <w:sz w:val="22"/>
        </w:rPr>
        <w:t>Implement stronger audit trails and deployment security controls.</w:t>
      </w:r>
    </w:p>
    <w:p>
      <w:pPr>
        <w:pStyle w:val="ListNumber"/>
        <w:spacing w:line="336" w:lineRule="auto" w:after="80"/>
      </w:pPr>
      <w:r>
        <w:rPr>
          <w:sz w:val="22"/>
        </w:rPr>
        <w:t>Support cloud/container deployment for scalable inference serving.</w:t>
      </w:r>
    </w:p>
    <w:p>
      <w:pPr>
        <w:pStyle w:val="ListNumber"/>
        <w:spacing w:line="336" w:lineRule="auto" w:after="80"/>
      </w:pPr>
      <w:r>
        <w:rPr>
          <w:sz w:val="22"/>
        </w:rPr>
        <w:t>Run expert-in-the-loop clinical review studies for practical usefulness assessment.</w:t>
      </w:r>
    </w:p>
    <w:p>
      <w:pPr>
        <w:spacing w:after="160" w:line="360" w:lineRule="auto"/>
      </w:pPr>
      <w:r>
        <w:rPr>
          <w:b w:val="0"/>
          <w:sz w:val="24"/>
        </w:rPr>
        <w:t>Future scope includes algorithmic advancement, evaluation rigor, deployment hardening, and clinical alignment. The current implementation provides a strong foundation for these extensions.</w:t>
      </w:r>
    </w:p>
    <w:p>
      <w:r>
        <w:br w:type="page"/>
      </w:r>
    </w:p>
    <w:p>
      <w:pPr>
        <w:spacing w:after="160" w:line="360" w:lineRule="auto"/>
      </w:pPr>
      <w:r>
        <w:rPr>
          <w:b w:val="0"/>
          <w:sz w:val="24"/>
        </w:rPr>
        <w:t>Medium-term scope includes structured benchmark experiments, model variant comparison, and automated reporting dashboards. This phase should add reproducible experiment manifests, deterministic seed control, and versioned model registry conventions for transparent result tracking.</w:t>
      </w:r>
    </w:p>
    <w:p>
      <w:pPr>
        <w:spacing w:after="160" w:line="360" w:lineRule="auto"/>
      </w:pPr>
      <w:r>
        <w:rPr>
          <w:b w:val="0"/>
          <w:sz w:val="24"/>
        </w:rPr>
        <w:t>Long-term scope includes healthcare-grade controls: stronger compliance mapping, explainability overlays, role-based governance, and audited lifecycle operations. These upgrades are required if the project transitions from academic prototype to institutional pilot usage.</w:t>
      </w:r>
    </w:p>
    <w:p>
      <w:r>
        <w:br w:type="page"/>
      </w:r>
    </w:p>
    <w:p>
      <w:pPr>
        <w:spacing w:after="160" w:line="360" w:lineRule="auto"/>
      </w:pPr>
      <w:r>
        <w:rPr>
          <w:b w:val="0"/>
          <w:sz w:val="24"/>
        </w:rPr>
        <w:t>Future roadmap can also include modality-specific specialization, for example separate pipelines for chest X-ray, brain MRI slices, CT thoracic windows, or histopathology patches. Specialized preprocessing and task-specific quality metrics can materially improve trust and utility in domain workflows.</w:t>
      </w:r>
    </w:p>
    <w:p>
      <w:r>
        <w:br w:type="page"/>
      </w:r>
    </w:p>
    <w:p>
      <w:pPr>
        <w:pStyle w:val="Heading1"/>
      </w:pPr>
      <w:r>
        <w:t>9. References</w:t>
      </w:r>
    </w:p>
    <w:p>
      <w:pPr>
        <w:pStyle w:val="ListNumber"/>
        <w:spacing w:line="336" w:lineRule="auto" w:after="80"/>
      </w:pPr>
      <w:r>
        <w:rPr>
          <w:sz w:val="22"/>
        </w:rPr>
        <w:t>Khatun, A., Aydeniz, K. Y., Weinstein, Y. S., Usman, M. (2025). Quantum generative learning for high-resolution medical image generation. Machine Learning: Science and Technology, 6, 025032.</w:t>
      </w:r>
    </w:p>
    <w:p>
      <w:pPr>
        <w:pStyle w:val="ListNumber"/>
        <w:spacing w:line="336" w:lineRule="auto" w:after="80"/>
      </w:pPr>
      <w:r>
        <w:rPr>
          <w:sz w:val="22"/>
        </w:rPr>
        <w:t>QTML 2024 Abstract. Quantum Generative Learning for High-Resolution Medical Image Generation.</w:t>
      </w:r>
    </w:p>
    <w:p>
      <w:pPr>
        <w:pStyle w:val="ListNumber"/>
        <w:spacing w:line="336" w:lineRule="auto" w:after="80"/>
      </w:pPr>
      <w:r>
        <w:rPr>
          <w:sz w:val="22"/>
        </w:rPr>
        <w:t>Abdulqader, D. M., Abdulazeez, A. M. (2025). A Comparative Study of Generative Adversarial Networks in Medical Image Processing.</w:t>
      </w:r>
    </w:p>
    <w:p>
      <w:pPr>
        <w:pStyle w:val="ListNumber"/>
        <w:spacing w:line="336" w:lineRule="auto" w:after="80"/>
      </w:pPr>
      <w:r>
        <w:rPr>
          <w:sz w:val="22"/>
        </w:rPr>
        <w:t>Springer (2025). Quantum generative adversarial network for image generation.</w:t>
      </w:r>
    </w:p>
    <w:p>
      <w:pPr>
        <w:pStyle w:val="ListNumber"/>
        <w:spacing w:line="336" w:lineRule="auto" w:after="80"/>
      </w:pPr>
      <w:r>
        <w:rPr>
          <w:sz w:val="22"/>
        </w:rPr>
        <w:t>Goodfellow, I. et al. (2014). Generative Adversarial Nets. NeurIPS.</w:t>
      </w:r>
    </w:p>
    <w:p>
      <w:pPr>
        <w:pStyle w:val="ListNumber"/>
        <w:spacing w:line="336" w:lineRule="auto" w:after="80"/>
      </w:pPr>
      <w:r>
        <w:rPr>
          <w:sz w:val="22"/>
        </w:rPr>
        <w:t>Ledig, C. et al. (2017). Photo-Realistic Single Image Super-Resolution Using a Generative Adversarial Network. CVPR.</w:t>
      </w:r>
    </w:p>
    <w:p>
      <w:pPr>
        <w:pStyle w:val="ListNumber"/>
        <w:spacing w:line="336" w:lineRule="auto" w:after="80"/>
      </w:pPr>
      <w:r>
        <w:rPr>
          <w:sz w:val="22"/>
        </w:rPr>
        <w:t>Wang, Z. et al. (2004). Image Quality Assessment: From Error Visibility to Structural Similarity. IEEE TIP.</w:t>
      </w:r>
    </w:p>
    <w:p>
      <w:pPr>
        <w:pStyle w:val="ListNumber"/>
        <w:spacing w:line="336" w:lineRule="auto" w:after="80"/>
      </w:pPr>
      <w:r>
        <w:rPr>
          <w:sz w:val="22"/>
        </w:rPr>
        <w:t>Kingma, D. P., Ba, J. (2015). Adam: A Method for Stochastic Optimization. ICLR.</w:t>
      </w:r>
    </w:p>
    <w:p>
      <w:pPr>
        <w:pStyle w:val="ListNumber"/>
        <w:spacing w:line="336" w:lineRule="auto" w:after="80"/>
      </w:pPr>
      <w:r>
        <w:rPr>
          <w:sz w:val="22"/>
        </w:rPr>
        <w:t>Project source files: main.py, database.py, models/user.py, models/result.py, models/qgan_model.py, models/medical_classifier.py, qgan_train.py, medical_classifier_train.py.</w:t>
      </w:r>
    </w:p>
    <w:p>
      <w:pPr>
        <w:spacing w:after="160" w:line="360" w:lineRule="auto"/>
      </w:pPr>
      <w:r>
        <w:rPr>
          <w:b w:val="0"/>
          <w:sz w:val="24"/>
        </w:rPr>
        <w:t>Reference note: This synopsis combines peer literature with direct implementation evidence from the current repository to maintain factual correctness and traceability.</w:t>
      </w:r>
    </w:p>
    <w:p>
      <w:r>
        <w:br w:type="page"/>
      </w:r>
    </w:p>
    <w:p>
      <w:pPr>
        <w:pStyle w:val="Heading1"/>
      </w:pPr>
      <w:r>
        <w:t>Annexure A: Implemented API and Route Summary</w:t>
      </w:r>
    </w:p>
    <w:p>
      <w:pPr>
        <w:pStyle w:val="ListBullet"/>
        <w:spacing w:line="336" w:lineRule="auto" w:after="80"/>
      </w:pPr>
      <w:r>
        <w:rPr>
          <w:sz w:val="22"/>
        </w:rPr>
        <w:t>Authentication routes: /register, /login, /logout, /profile, /reset-password, /reset-password/{token}.</w:t>
      </w:r>
    </w:p>
    <w:p>
      <w:pPr>
        <w:pStyle w:val="ListBullet"/>
        <w:spacing w:line="336" w:lineRule="auto" w:after="80"/>
      </w:pPr>
      <w:r>
        <w:rPr>
          <w:sz w:val="22"/>
        </w:rPr>
        <w:t>Admin route: /admin (role protected).</w:t>
      </w:r>
    </w:p>
    <w:p>
      <w:pPr>
        <w:pStyle w:val="ListBullet"/>
        <w:spacing w:line="336" w:lineRule="auto" w:after="80"/>
      </w:pPr>
      <w:r>
        <w:rPr>
          <w:sz w:val="22"/>
        </w:rPr>
        <w:t>Result APIs: /api/users/me, /api/results, /api/results/{id}.</w:t>
      </w:r>
    </w:p>
    <w:p>
      <w:pPr>
        <w:pStyle w:val="ListBullet"/>
        <w:spacing w:line="336" w:lineRule="auto" w:after="80"/>
      </w:pPr>
      <w:r>
        <w:rPr>
          <w:sz w:val="22"/>
        </w:rPr>
        <w:t>Upload route: /upload/ (file + metadata + inference + persistence).</w:t>
      </w:r>
    </w:p>
    <w:p>
      <w:pPr>
        <w:pStyle w:val="ListBullet"/>
        <w:spacing w:line="336" w:lineRule="auto" w:after="80"/>
      </w:pPr>
      <w:r>
        <w:rPr>
          <w:sz w:val="22"/>
        </w:rPr>
        <w:t>Gallery routes: /gallery, /gallery/delete/{result_id}.</w:t>
      </w:r>
    </w:p>
    <w:p>
      <w:pPr>
        <w:pStyle w:val="ListBullet"/>
        <w:spacing w:line="336" w:lineRule="auto" w:after="80"/>
      </w:pPr>
      <w:r>
        <w:rPr>
          <w:sz w:val="22"/>
        </w:rPr>
        <w:t>Static/result serving routes: /uploads/{filename}, /results/{filename}.</w:t>
      </w:r>
    </w:p>
    <w:p>
      <w:pPr>
        <w:spacing w:after="160" w:line="360" w:lineRule="auto"/>
      </w:pPr>
      <w:r>
        <w:rPr>
          <w:b w:val="0"/>
          <w:sz w:val="24"/>
        </w:rPr>
        <w:t>This annexure helps viva evaluation by connecting system behavior to concrete endpoints and modules.</w:t>
      </w:r>
    </w:p>
    <w:p>
      <w:r>
        <w:br w:type="page"/>
      </w:r>
    </w:p>
    <w:p>
      <w:pPr>
        <w:pStyle w:val="Heading1"/>
      </w:pPr>
      <w:r>
        <w:t>Annexure B: ER and Data Traceability Summary</w:t>
      </w:r>
    </w:p>
    <w:p>
      <w:pPr>
        <w:spacing w:after="160" w:line="360" w:lineRule="auto"/>
      </w:pPr>
      <w:r>
        <w:rPr>
          <w:b w:val="0"/>
          <w:sz w:val="24"/>
        </w:rPr>
        <w:t>Entities: users, results. Relationship: users.id -&gt; results.owner_id (1 to many, nullable owner support).</w:t>
      </w:r>
    </w:p>
    <w:p>
      <w:pPr>
        <w:pStyle w:val="ListBullet"/>
        <w:spacing w:line="336" w:lineRule="auto" w:after="80"/>
      </w:pPr>
      <w:r>
        <w:rPr>
          <w:sz w:val="22"/>
        </w:rPr>
        <w:t>users: id, email, full_name, password_hash, salt, is_admin, reset_token, reset_token_expires, created_at.</w:t>
      </w:r>
    </w:p>
    <w:p>
      <w:pPr>
        <w:pStyle w:val="ListBullet"/>
        <w:spacing w:line="336" w:lineRule="auto" w:after="80"/>
      </w:pPr>
      <w:r>
        <w:rPr>
          <w:sz w:val="22"/>
        </w:rPr>
        <w:t>results: id, filename, original_path, result_path, description, tags, patient_id, owner_id, timestamp.</w:t>
      </w:r>
    </w:p>
    <w:p>
      <w:pPr>
        <w:pStyle w:val="ListBullet"/>
        <w:spacing w:line="336" w:lineRule="auto" w:after="80"/>
      </w:pPr>
      <w:r>
        <w:rPr>
          <w:sz w:val="22"/>
        </w:rPr>
        <w:t>Metadata design supports practical retrieval and user-specific filtering.</w:t>
      </w:r>
    </w:p>
    <w:p>
      <w:pPr>
        <w:pStyle w:val="ListBullet"/>
        <w:spacing w:line="336" w:lineRule="auto" w:after="80"/>
      </w:pPr>
      <w:r>
        <w:rPr>
          <w:sz w:val="22"/>
        </w:rPr>
        <w:t>Timestamps are managed with IST conversion utilities for display consistency.</w:t>
      </w:r>
    </w:p>
    <w:p>
      <w:pPr>
        <w:spacing w:after="160" w:line="360" w:lineRule="auto"/>
      </w:pPr>
      <w:r>
        <w:rPr>
          <w:b w:val="0"/>
          <w:sz w:val="24"/>
        </w:rPr>
        <w:t>Deliverable note: ER diagram image is available in the project as ER_DIAGRAM.png and Mermaid source in ER_DIAGRAM.md.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