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b/>
        </w:rPr>
        <w:t>Synopsis: QGAN-Based Medical Image Super-Resolution and Secure Gallery System</w:t>
      </w:r>
    </w:p>
    <w:p>
      <w:pPr>
        <w:pStyle w:val="Heading1"/>
        <w:rPr>
          <w:b/>
        </w:rPr>
      </w:pPr>
      <w:r>
        <w:rPr/>
      </w:r>
    </w:p>
    <w:p>
      <w:pPr>
        <w:pStyle w:val="ListNumber"/>
        <w:numPr>
          <w:ilvl w:val="0"/>
          <w:numId w:val="4"/>
        </w:numPr>
        <w:rPr/>
      </w:pPr>
      <w:r>
        <w:rPr/>
        <w:t>1. Title Page and Certificate Page — 1 page</w:t>
      </w:r>
    </w:p>
    <w:p>
      <w:pPr>
        <w:pStyle w:val="ListNumber"/>
        <w:numPr>
          <w:ilvl w:val="0"/>
          <w:numId w:val="4"/>
        </w:numPr>
        <w:rPr/>
      </w:pPr>
      <w:r>
        <w:rPr/>
        <w:t>2. Acknowledgements &amp; Contents — 1 page</w:t>
      </w:r>
    </w:p>
    <w:p>
      <w:pPr>
        <w:pStyle w:val="ListNumber"/>
        <w:numPr>
          <w:ilvl w:val="0"/>
          <w:numId w:val="4"/>
        </w:numPr>
        <w:rPr/>
      </w:pPr>
      <w:r>
        <w:rPr/>
        <w:t>3. List of Figures/Tables — 1 page</w:t>
      </w:r>
    </w:p>
    <w:p>
      <w:pPr>
        <w:pStyle w:val="ListNumber"/>
        <w:numPr>
          <w:ilvl w:val="0"/>
          <w:numId w:val="4"/>
        </w:numPr>
        <w:rPr/>
      </w:pPr>
      <w:r>
        <w:rPr/>
        <w:t>4. Broad Area of Work — 1 page</w:t>
      </w:r>
    </w:p>
    <w:p>
      <w:pPr>
        <w:pStyle w:val="ListNumber"/>
        <w:numPr>
          <w:ilvl w:val="0"/>
          <w:numId w:val="4"/>
        </w:numPr>
        <w:rPr/>
      </w:pPr>
      <w:r>
        <w:rPr/>
        <w:t>5. Introduction — 3 pages</w:t>
      </w:r>
    </w:p>
    <w:p>
      <w:pPr>
        <w:pStyle w:val="ListNumber"/>
        <w:numPr>
          <w:ilvl w:val="0"/>
          <w:numId w:val="4"/>
        </w:numPr>
        <w:rPr/>
      </w:pPr>
      <w:r>
        <w:rPr/>
        <w:t>6. Literature Survey / Work Done in the Field — 8 pages</w:t>
      </w:r>
    </w:p>
    <w:p>
      <w:pPr>
        <w:pStyle w:val="ListNumber"/>
        <w:numPr>
          <w:ilvl w:val="0"/>
          <w:numId w:val="4"/>
        </w:numPr>
        <w:rPr/>
      </w:pPr>
      <w:r>
        <w:rPr/>
        <w:t>7. Existing Gaps — 2 pages</w:t>
      </w:r>
    </w:p>
    <w:p>
      <w:pPr>
        <w:pStyle w:val="ListNumber"/>
        <w:numPr>
          <w:ilvl w:val="0"/>
          <w:numId w:val="4"/>
        </w:numPr>
        <w:rPr/>
      </w:pPr>
      <w:r>
        <w:rPr/>
        <w:t>8. Objectives of the Proposed Work — 1 page</w:t>
      </w:r>
    </w:p>
    <w:p>
      <w:pPr>
        <w:pStyle w:val="ListNumber"/>
        <w:numPr>
          <w:ilvl w:val="0"/>
          <w:numId w:val="4"/>
        </w:numPr>
        <w:rPr/>
      </w:pPr>
      <w:r>
        <w:rPr/>
        <w:t>9. Proposed Methodologies — 6 pages</w:t>
      </w:r>
    </w:p>
    <w:p>
      <w:pPr>
        <w:pStyle w:val="ListNumber"/>
        <w:numPr>
          <w:ilvl w:val="0"/>
          <w:numId w:val="4"/>
        </w:numPr>
        <w:rPr/>
      </w:pPr>
      <w:r>
        <w:rPr/>
        <w:t>10. Expected Outcome of the Proposed Work — 2 pages</w:t>
      </w:r>
    </w:p>
    <w:p>
      <w:pPr>
        <w:pStyle w:val="ListNumber"/>
        <w:numPr>
          <w:ilvl w:val="0"/>
          <w:numId w:val="4"/>
        </w:numPr>
        <w:rPr/>
      </w:pPr>
      <w:r>
        <w:rPr/>
        <w:t>11. Future Scope of the Work — 1 page</w:t>
      </w:r>
    </w:p>
    <w:p>
      <w:pPr>
        <w:pStyle w:val="ListNumber"/>
        <w:numPr>
          <w:ilvl w:val="0"/>
          <w:numId w:val="4"/>
        </w:numPr>
        <w:rPr/>
      </w:pPr>
      <w:r>
        <w:rPr/>
        <w:t>12. References — 2 pages</w:t>
      </w:r>
    </w:p>
    <w:p>
      <w:pPr>
        <w:pStyle w:val="Normal"/>
        <w:rPr/>
      </w:pPr>
      <w:r>
        <w:rPr/>
        <w:t>---</w:t>
      </w:r>
    </w:p>
    <w:p>
      <w:pPr>
        <w:pStyle w:val="Heading1"/>
        <w:rPr/>
      </w:pPr>
      <w:r>
        <w:rPr>
          <w:b/>
        </w:rPr>
        <w:t>1. Title Page and Certificate Page (1 page)</w:t>
      </w:r>
    </w:p>
    <w:p>
      <w:pPr>
        <w:pStyle w:val="Normal"/>
        <w:rPr/>
      </w:pPr>
      <w:r>
        <w:rPr/>
        <w:t>This section will contain the project title, student name, department and institute details, semester and academic year, project guide name, and declarations. The certificate page will be formatted with an institutional header, a supervisor signature block, and a declaration stating that the work is original and completed under proper guidance.</w:t>
      </w:r>
    </w:p>
    <w:p>
      <w:pPr>
        <w:pStyle w:val="Heading1"/>
        <w:rPr/>
      </w:pPr>
      <w:r>
        <w:rPr>
          <w:b/>
        </w:rPr>
        <w:t>2. Acknowledgements &amp; Contents (1 page)</w:t>
      </w:r>
    </w:p>
    <w:p>
      <w:pPr>
        <w:pStyle w:val="Normal"/>
        <w:rPr/>
      </w:pPr>
      <w:r>
        <w:rPr/>
        <w:t>The acknowledgement will express gratitude to the project guide, department faculty, peers, and family members for their support. The contents section will list all chapters and subsections with corresponding page numbers to help the reader navigate the synopsis.</w:t>
      </w:r>
    </w:p>
    <w:p>
      <w:pPr>
        <w:pStyle w:val="Heading1"/>
        <w:rPr/>
      </w:pPr>
      <w:r>
        <w:rPr>
          <w:b/>
        </w:rPr>
        <w:t>3. List of Figures / Tables (1 page)</w:t>
      </w:r>
    </w:p>
    <w:p>
      <w:pPr>
        <w:pStyle w:val="Normal"/>
        <w:rPr/>
      </w:pPr>
      <w:r>
        <w:rPr/>
        <w:t>A consolidated list of all figures and tables used in the synopsis will appear here. Each entry will include a caption and page reference.</w:t>
      </w:r>
    </w:p>
    <w:p>
      <w:pPr>
        <w:pStyle w:val="Heading1"/>
        <w:rPr/>
      </w:pPr>
      <w:r>
        <w:rPr>
          <w:b/>
        </w:rPr>
        <w:t>4. Broad Area of Work (1 page)</w:t>
      </w:r>
    </w:p>
    <w:p>
      <w:pPr>
        <w:pStyle w:val="Normal"/>
        <w:rPr/>
      </w:pPr>
      <w:r>
        <w:rPr/>
        <w:t>Medical image analysis and enhancement is a critical interdisciplinary field at the intersection of healthcare and artificial intelligence. This work falls under the broad area of medical image processing, with a focus on advanced generative deep learning methods and quantum-inspired algorithms. The proposed project emphasizes both the technical improvement of image quality and the practical deployment of a secure web application for image upload, validation, and management. By combining super-resolution research with a user-oriented web interface, this project aims to contribute to diagnostic workflows and accessible medical imaging tools.</w:t>
      </w:r>
    </w:p>
    <w:p>
      <w:pPr>
        <w:pStyle w:val="Heading1"/>
        <w:rPr/>
      </w:pPr>
      <w:r>
        <w:rPr>
          <w:b/>
        </w:rPr>
        <w:t>5. Introduction (3 pages)</w:t>
      </w:r>
    </w:p>
    <w:p>
      <w:pPr>
        <w:pStyle w:val="Heading2"/>
        <w:rPr/>
      </w:pPr>
      <w:r>
        <w:rPr>
          <w:b/>
        </w:rPr>
        <w:t>5.1 Background</w:t>
      </w:r>
    </w:p>
    <w:p>
      <w:pPr>
        <w:pStyle w:val="Normal"/>
        <w:rPr/>
      </w:pPr>
      <w:r>
        <w:rPr/>
        <w:t>Medical imaging plays a foundational role in modern diagnosis and treatment planning. Modalities such as X-ray, computed tomography (CT), magnetic resonance imaging (MRI), and ultrasound are used across specialties to detect abnormalities, monitor disease progression, and guide interventions. However, many scans are acquired under suboptimal conditions, especially in low-resource settings, which can produce low-resolution or noisy images that degrade diagnostic accuracy.</w:t>
      </w:r>
    </w:p>
    <w:p>
      <w:pPr>
        <w:pStyle w:val="Heading2"/>
        <w:rPr/>
      </w:pPr>
      <w:r>
        <w:rPr>
          <w:b/>
        </w:rPr>
        <w:t>5.2 Motivation</w:t>
      </w:r>
    </w:p>
    <w:p>
      <w:pPr>
        <w:pStyle w:val="Normal"/>
        <w:rPr/>
      </w:pPr>
      <w:r>
        <w:rPr/>
        <w:t>Improving image quality has a direct impact on a clinician’s ability to identify fine details such as lesions, tissue boundaries, and vascular structures. Traditional image enhancement methods often fail to preserve the subtle, clinically relevant features needed for accurate interpretation. Therefore, there is strong motivation to explore modern learning-based super-resolution techniques that can restore information while maintaining the diagnostic integrity of the scan.</w:t>
      </w:r>
    </w:p>
    <w:p>
      <w:pPr>
        <w:pStyle w:val="Heading2"/>
        <w:rPr/>
      </w:pPr>
      <w:r>
        <w:rPr>
          <w:b/>
        </w:rPr>
        <w:t>5.3 Problem Statement</w:t>
      </w:r>
    </w:p>
    <w:p>
      <w:pPr>
        <w:pStyle w:val="Normal"/>
        <w:rPr/>
      </w:pPr>
      <w:r>
        <w:rPr/>
        <w:t>The principal problem addressed by this synopsis is that low-resolution medical scans can reduce the reliability of clinical diagnosis. Existing super-resolution models for medical imaging struggle with stability, small training datasets, and domain-specific quality requirements. Additionally, few systems integrate these models with an easy-to-use web application that validates uploads and protects clinicians from processing non-medical or irrelevant images.</w:t>
      </w:r>
    </w:p>
    <w:p>
      <w:pPr>
        <w:pStyle w:val="Heading2"/>
        <w:rPr/>
      </w:pPr>
      <w:r>
        <w:rPr>
          <w:b/>
        </w:rPr>
        <w:t>5.4 Scope of the Project</w:t>
      </w:r>
    </w:p>
    <w:p>
      <w:pPr>
        <w:pStyle w:val="Normal"/>
        <w:rPr/>
      </w:pPr>
      <w:r>
        <w:rPr/>
        <w:t>The scope of this project includes design and implementation of a QGAN-inspired super-resolution model tailored to medical images, data preparation and training, and a secure FastAPI-based web application. The application will support file upload, medical image filtering, model inference, gallery management, and download capabilities. The project will also include evaluation against classical baselines and documentation of results.</w:t>
      </w:r>
    </w:p>
    <w:p>
      <w:pPr>
        <w:pStyle w:val="Heading2"/>
        <w:rPr/>
      </w:pPr>
      <w:r>
        <w:rPr>
          <w:b/>
        </w:rPr>
        <w:t>5.5 Synopsis Organization</w:t>
      </w:r>
    </w:p>
    <w:p>
      <w:pPr>
        <w:pStyle w:val="Normal"/>
        <w:rPr/>
      </w:pPr>
      <w:r>
        <w:rPr/>
        <w:t>This synopsis is organized into twelve chapters covering the title page, introduction, literature survey, gap analysis, objectives, methodology, expected outcomes, future scope, and references. Each chapter builds a coherent narrative from problem definition to solution design, ensuring that the proposed work is clearly explained and justified.</w:t>
      </w:r>
    </w:p>
    <w:p>
      <w:pPr>
        <w:pStyle w:val="Heading1"/>
        <w:rPr/>
      </w:pPr>
      <w:r>
        <w:rPr>
          <w:b/>
        </w:rPr>
        <w:t>6. Literature Survey / Work Done in the Field (8 pages)</w:t>
      </w:r>
    </w:p>
    <w:p>
      <w:pPr>
        <w:pStyle w:val="Heading2"/>
        <w:rPr/>
      </w:pPr>
      <w:r>
        <w:rPr>
          <w:b/>
        </w:rPr>
        <w:t>6.1 Classical GANs in Medical Imaging</w:t>
      </w:r>
    </w:p>
    <w:p>
      <w:pPr>
        <w:pStyle w:val="Normal"/>
        <w:rPr/>
      </w:pPr>
      <w:r>
        <w:rPr/>
        <w:t>Generative adversarial networks (GANs), introduced by Goodfellow et al. in 2014, consist of a generator that creates data and a discriminator that distinguishes fake from real samples. GAN-style architectures have since been adapted for medical imaging tasks including image synthesis, super-resolution, and augmentation. Notable GAN variants such as DCGAN, Pix2Pix, CycleGAN, and SRGAN have provided the foundation for many medical imaging applications.</w:t>
      </w:r>
    </w:p>
    <w:p>
      <w:pPr>
        <w:pStyle w:val="Heading2"/>
        <w:rPr/>
      </w:pPr>
      <w:r>
        <w:rPr>
          <w:b/>
        </w:rPr>
        <w:t>6.2 GAN-Based Medical Super-Resolution</w:t>
      </w:r>
    </w:p>
    <w:p>
      <w:pPr>
        <w:pStyle w:val="Normal"/>
        <w:rPr/>
      </w:pPr>
      <w:r>
        <w:rPr/>
        <w:t>Super-resolution GANs (SRGANs) are commonly used to improve the spatial resolution of images by training a generator to produce high-resolution outputs while a discriminator judges photorealism. In medical imaging, researchers have applied SRGAN-like models to chest X-rays, brain MRIs, and ultrasound images, demonstrating improved visual quality and quantitative gains in PSNR and SSIM. However, these models sometimes introduce artifacts or fail to preserve delicate anatomical details.</w:t>
      </w:r>
    </w:p>
    <w:p>
      <w:pPr>
        <w:pStyle w:val="Heading2"/>
        <w:rPr/>
      </w:pPr>
      <w:r>
        <w:rPr>
          <w:b/>
        </w:rPr>
        <w:t>6.3 Quantum and Hybrid Quantum-Classical Generative Models</w:t>
      </w:r>
    </w:p>
    <w:p>
      <w:pPr>
        <w:pStyle w:val="Normal"/>
        <w:rPr/>
      </w:pPr>
      <w:r>
        <w:rPr/>
        <w:t>Quantum machine learning is an emerging field that explores quantum circuits for model representation and optimization. Hybrid quantum-classical architectures use quantum submodules within classical neural networks to capture complex correlations in the data. Quantum GANs and variational quantum circuits offer promising directions, especially for feature extraction and latent-space learning. Hybrid models may improve learning efficiency or robustness when classical models alone face limitations.</w:t>
      </w:r>
    </w:p>
    <w:p>
      <w:pPr>
        <w:pStyle w:val="Heading2"/>
        <w:rPr/>
      </w:pPr>
      <w:r>
        <w:rPr>
          <w:b/>
        </w:rPr>
        <w:t>6.4 Relevant Papers from the Provided Links</w:t>
      </w:r>
    </w:p>
    <w:p>
      <w:pPr>
        <w:pStyle w:val="ListBullet"/>
        <w:numPr>
          <w:ilvl w:val="0"/>
          <w:numId w:val="1"/>
        </w:numPr>
        <w:rPr/>
      </w:pPr>
      <w:r>
        <w:rPr/>
        <w:t>**Quantum generative learning for high-resolution medical image generation** (IOP): This paper introduces a quantum-inspired generative architecture that uses PCA encoding and variational quantum circuits. The model is evaluated on medical images using Wasserstein or adversarial objectives, showing promising high-resolution generation.</w:t>
      </w:r>
    </w:p>
    <w:p>
      <w:pPr>
        <w:pStyle w:val="ListBullet"/>
        <w:numPr>
          <w:ilvl w:val="0"/>
          <w:numId w:val="1"/>
        </w:numPr>
        <w:rPr/>
      </w:pPr>
      <w:r>
        <w:rPr/>
        <w:t>**QTML conference abstract**: The abstract presents an application of quantum generative models to medical imaging, emphasizing the potential of hybrid models for improved image quality and generalization.</w:t>
      </w:r>
    </w:p>
    <w:p>
      <w:pPr>
        <w:pStyle w:val="ListBullet"/>
        <w:numPr>
          <w:ilvl w:val="0"/>
          <w:numId w:val="1"/>
        </w:numPr>
        <w:rPr/>
      </w:pPr>
      <w:r>
        <w:rPr/>
        <w:t>**Comparative Study of GANs in Medical Image Processing** (MDPI): This survey compares multiple GAN architectures across medical imaging tasks. It highlights evaluation metrics such as PSNR, SSIM, and clinical relevance, providing useful guidance for model selection.</w:t>
      </w:r>
    </w:p>
    <w:p>
      <w:pPr>
        <w:pStyle w:val="ListBullet"/>
        <w:numPr>
          <w:ilvl w:val="0"/>
          <w:numId w:val="1"/>
        </w:numPr>
        <w:rPr/>
      </w:pPr>
      <w:r>
        <w:rPr/>
        <w:t>**Quantum generative adversarial network for image generation** (Springer): This paper details a quantum GAN architecture and training methodology, offering insights into how quantum circuits can be combined with classical discriminators.</w:t>
      </w:r>
    </w:p>
    <w:p>
      <w:pPr>
        <w:pStyle w:val="ListBullet"/>
        <w:numPr>
          <w:ilvl w:val="0"/>
          <w:numId w:val="1"/>
        </w:numPr>
        <w:rPr/>
      </w:pPr>
      <w:r>
        <w:rPr/>
        <w:t>**HybridQ Hybrid Classical-Quantum GAN for Skin Disease Image Generation** (ResearchGate): This work demonstrates a hybrid GAN for dermatology images, showing how quantum-inspired modules can produce realistic synthetic images while preserving disease-related detail.</w:t>
      </w:r>
    </w:p>
    <w:p>
      <w:pPr>
        <w:pStyle w:val="Heading2"/>
        <w:rPr/>
      </w:pPr>
      <w:r>
        <w:rPr>
          <w:b/>
        </w:rPr>
        <w:t>6.5 Survey Summary Table</w:t>
      </w:r>
    </w:p>
    <w:p>
      <w:pPr>
        <w:pStyle w:val="Normal"/>
        <w:rPr/>
      </w:pPr>
      <w:r>
        <w:rPr/>
        <w:t>The following table summarizes key papers, their methods, datasets, and strengths:</w:t>
      </w:r>
    </w:p>
    <w:tbl>
      <w:tblPr>
        <w:tblW w:w="8640"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widowControl/>
              <w:bidi w:val="0"/>
              <w:spacing w:lineRule="auto" w:line="276" w:before="0" w:after="200"/>
              <w:jc w:val="start"/>
              <w:rPr/>
            </w:pPr>
            <w:r>
              <w:rPr/>
              <w:t>Paper</w:t>
            </w:r>
          </w:p>
        </w:tc>
        <w:tc>
          <w:tcPr>
            <w:tcW w:w="1728" w:type="dxa"/>
            <w:tcBorders/>
          </w:tcPr>
          <w:p>
            <w:pPr>
              <w:pStyle w:val="Normal"/>
              <w:widowControl/>
              <w:bidi w:val="0"/>
              <w:spacing w:lineRule="auto" w:line="276" w:before="0" w:after="200"/>
              <w:jc w:val="start"/>
              <w:rPr/>
            </w:pPr>
            <w:r>
              <w:rPr/>
              <w:t>Dataset / Modality</w:t>
            </w:r>
          </w:p>
        </w:tc>
        <w:tc>
          <w:tcPr>
            <w:tcW w:w="1728" w:type="dxa"/>
            <w:tcBorders/>
          </w:tcPr>
          <w:p>
            <w:pPr>
              <w:pStyle w:val="Normal"/>
              <w:widowControl/>
              <w:bidi w:val="0"/>
              <w:spacing w:lineRule="auto" w:line="276" w:before="0" w:after="200"/>
              <w:jc w:val="start"/>
              <w:rPr/>
            </w:pPr>
            <w:r>
              <w:rPr/>
              <w:t>Method</w:t>
            </w:r>
          </w:p>
        </w:tc>
        <w:tc>
          <w:tcPr>
            <w:tcW w:w="1728" w:type="dxa"/>
            <w:tcBorders/>
          </w:tcPr>
          <w:p>
            <w:pPr>
              <w:pStyle w:val="Normal"/>
              <w:widowControl/>
              <w:bidi w:val="0"/>
              <w:spacing w:lineRule="auto" w:line="276" w:before="0" w:after="200"/>
              <w:jc w:val="start"/>
              <w:rPr/>
            </w:pPr>
            <w:r>
              <w:rPr/>
              <w:t>Strengths</w:t>
            </w:r>
          </w:p>
        </w:tc>
        <w:tc>
          <w:tcPr>
            <w:tcW w:w="1728" w:type="dxa"/>
            <w:tcBorders/>
          </w:tcPr>
          <w:p>
            <w:pPr>
              <w:pStyle w:val="Normal"/>
              <w:widowControl/>
              <w:bidi w:val="0"/>
              <w:spacing w:lineRule="auto" w:line="276" w:before="0" w:after="200"/>
              <w:jc w:val="start"/>
              <w:rPr/>
            </w:pPr>
            <w:r>
              <w:rPr/>
              <w:t>Limitations</w:t>
            </w:r>
          </w:p>
        </w:tc>
      </w:tr>
      <w:tr>
        <w:trPr/>
        <w:tc>
          <w:tcPr>
            <w:tcW w:w="1728" w:type="dxa"/>
            <w:tcBorders/>
          </w:tcPr>
          <w:p>
            <w:pPr>
              <w:pStyle w:val="Normal"/>
              <w:widowControl/>
              <w:bidi w:val="0"/>
              <w:spacing w:lineRule="auto" w:line="276" w:before="0" w:after="200"/>
              <w:jc w:val="start"/>
              <w:rPr/>
            </w:pPr>
            <w:r>
              <w:rPr/>
              <w:t>Goodfellow et al. 2014</w:t>
            </w:r>
          </w:p>
        </w:tc>
        <w:tc>
          <w:tcPr>
            <w:tcW w:w="1728" w:type="dxa"/>
            <w:tcBorders/>
          </w:tcPr>
          <w:p>
            <w:pPr>
              <w:pStyle w:val="Normal"/>
              <w:widowControl/>
              <w:bidi w:val="0"/>
              <w:spacing w:lineRule="auto" w:line="276" w:before="0" w:after="200"/>
              <w:jc w:val="start"/>
              <w:rPr/>
            </w:pPr>
            <w:r>
              <w:rPr/>
              <w:t>General images</w:t>
            </w:r>
          </w:p>
        </w:tc>
        <w:tc>
          <w:tcPr>
            <w:tcW w:w="1728" w:type="dxa"/>
            <w:tcBorders/>
          </w:tcPr>
          <w:p>
            <w:pPr>
              <w:pStyle w:val="Normal"/>
              <w:widowControl/>
              <w:bidi w:val="0"/>
              <w:spacing w:lineRule="auto" w:line="276" w:before="0" w:after="200"/>
              <w:jc w:val="start"/>
              <w:rPr/>
            </w:pPr>
            <w:r>
              <w:rPr/>
              <w:t>Vanilla GAN</w:t>
            </w:r>
          </w:p>
        </w:tc>
        <w:tc>
          <w:tcPr>
            <w:tcW w:w="1728" w:type="dxa"/>
            <w:tcBorders/>
          </w:tcPr>
          <w:p>
            <w:pPr>
              <w:pStyle w:val="Normal"/>
              <w:widowControl/>
              <w:bidi w:val="0"/>
              <w:spacing w:lineRule="auto" w:line="276" w:before="0" w:after="200"/>
              <w:jc w:val="start"/>
              <w:rPr/>
            </w:pPr>
            <w:r>
              <w:rPr/>
              <w:t>Foundational adversarial training</w:t>
            </w:r>
          </w:p>
        </w:tc>
        <w:tc>
          <w:tcPr>
            <w:tcW w:w="1728" w:type="dxa"/>
            <w:tcBorders/>
          </w:tcPr>
          <w:p>
            <w:pPr>
              <w:pStyle w:val="Normal"/>
              <w:widowControl/>
              <w:bidi w:val="0"/>
              <w:spacing w:lineRule="auto" w:line="276" w:before="0" w:after="200"/>
              <w:jc w:val="start"/>
              <w:rPr/>
            </w:pPr>
            <w:r>
              <w:rPr/>
              <w:t>Mode collapse risk</w:t>
            </w:r>
          </w:p>
        </w:tc>
      </w:tr>
      <w:tr>
        <w:trPr/>
        <w:tc>
          <w:tcPr>
            <w:tcW w:w="1728" w:type="dxa"/>
            <w:tcBorders/>
          </w:tcPr>
          <w:p>
            <w:pPr>
              <w:pStyle w:val="Normal"/>
              <w:widowControl/>
              <w:bidi w:val="0"/>
              <w:spacing w:lineRule="auto" w:line="276" w:before="0" w:after="200"/>
              <w:jc w:val="start"/>
              <w:rPr/>
            </w:pPr>
            <w:r>
              <w:rPr/>
              <w:t>Ledig et al. 2017</w:t>
            </w:r>
          </w:p>
        </w:tc>
        <w:tc>
          <w:tcPr>
            <w:tcW w:w="1728" w:type="dxa"/>
            <w:tcBorders/>
          </w:tcPr>
          <w:p>
            <w:pPr>
              <w:pStyle w:val="Normal"/>
              <w:widowControl/>
              <w:bidi w:val="0"/>
              <w:spacing w:lineRule="auto" w:line="276" w:before="0" w:after="200"/>
              <w:jc w:val="start"/>
              <w:rPr/>
            </w:pPr>
            <w:r>
              <w:rPr/>
              <w:t>Natural images</w:t>
            </w:r>
          </w:p>
        </w:tc>
        <w:tc>
          <w:tcPr>
            <w:tcW w:w="1728" w:type="dxa"/>
            <w:tcBorders/>
          </w:tcPr>
          <w:p>
            <w:pPr>
              <w:pStyle w:val="Normal"/>
              <w:widowControl/>
              <w:bidi w:val="0"/>
              <w:spacing w:lineRule="auto" w:line="276" w:before="0" w:after="200"/>
              <w:jc w:val="start"/>
              <w:rPr/>
            </w:pPr>
            <w:r>
              <w:rPr/>
              <w:t>SRGAN</w:t>
            </w:r>
          </w:p>
        </w:tc>
        <w:tc>
          <w:tcPr>
            <w:tcW w:w="1728" w:type="dxa"/>
            <w:tcBorders/>
          </w:tcPr>
          <w:p>
            <w:pPr>
              <w:pStyle w:val="Normal"/>
              <w:widowControl/>
              <w:bidi w:val="0"/>
              <w:spacing w:lineRule="auto" w:line="276" w:before="0" w:after="200"/>
              <w:jc w:val="start"/>
              <w:rPr/>
            </w:pPr>
            <w:r>
              <w:rPr/>
              <w:t>High visual fidelity</w:t>
            </w:r>
          </w:p>
        </w:tc>
        <w:tc>
          <w:tcPr>
            <w:tcW w:w="1728" w:type="dxa"/>
            <w:tcBorders/>
          </w:tcPr>
          <w:p>
            <w:pPr>
              <w:pStyle w:val="Normal"/>
              <w:widowControl/>
              <w:bidi w:val="0"/>
              <w:spacing w:lineRule="auto" w:line="276" w:before="0" w:after="200"/>
              <w:jc w:val="start"/>
              <w:rPr/>
            </w:pPr>
            <w:r>
              <w:rPr/>
              <w:t>Medical artifacts possible</w:t>
            </w:r>
          </w:p>
        </w:tc>
      </w:tr>
      <w:tr>
        <w:trPr/>
        <w:tc>
          <w:tcPr>
            <w:tcW w:w="1728" w:type="dxa"/>
            <w:tcBorders/>
          </w:tcPr>
          <w:p>
            <w:pPr>
              <w:pStyle w:val="Normal"/>
              <w:widowControl/>
              <w:bidi w:val="0"/>
              <w:spacing w:lineRule="auto" w:line="276" w:before="0" w:after="200"/>
              <w:jc w:val="start"/>
              <w:rPr/>
            </w:pPr>
            <w:r>
              <w:rPr/>
              <w:t>IOP 2025</w:t>
            </w:r>
          </w:p>
        </w:tc>
        <w:tc>
          <w:tcPr>
            <w:tcW w:w="1728" w:type="dxa"/>
            <w:tcBorders/>
          </w:tcPr>
          <w:p>
            <w:pPr>
              <w:pStyle w:val="Normal"/>
              <w:widowControl/>
              <w:bidi w:val="0"/>
              <w:spacing w:lineRule="auto" w:line="276" w:before="0" w:after="200"/>
              <w:jc w:val="start"/>
              <w:rPr/>
            </w:pPr>
            <w:r>
              <w:rPr/>
              <w:t>Medical scans</w:t>
            </w:r>
          </w:p>
        </w:tc>
        <w:tc>
          <w:tcPr>
            <w:tcW w:w="1728" w:type="dxa"/>
            <w:tcBorders/>
          </w:tcPr>
          <w:p>
            <w:pPr>
              <w:pStyle w:val="Normal"/>
              <w:widowControl/>
              <w:bidi w:val="0"/>
              <w:spacing w:lineRule="auto" w:line="276" w:before="0" w:after="200"/>
              <w:jc w:val="start"/>
              <w:rPr/>
            </w:pPr>
            <w:r>
              <w:rPr/>
              <w:t>Quantum-inspired GAN</w:t>
            </w:r>
          </w:p>
        </w:tc>
        <w:tc>
          <w:tcPr>
            <w:tcW w:w="1728" w:type="dxa"/>
            <w:tcBorders/>
          </w:tcPr>
          <w:p>
            <w:pPr>
              <w:pStyle w:val="Normal"/>
              <w:widowControl/>
              <w:bidi w:val="0"/>
              <w:spacing w:lineRule="auto" w:line="276" w:before="0" w:after="200"/>
              <w:jc w:val="start"/>
              <w:rPr/>
            </w:pPr>
            <w:r>
              <w:rPr/>
              <w:t>Hybrid feature learning</w:t>
            </w:r>
          </w:p>
        </w:tc>
        <w:tc>
          <w:tcPr>
            <w:tcW w:w="1728" w:type="dxa"/>
            <w:tcBorders/>
          </w:tcPr>
          <w:p>
            <w:pPr>
              <w:pStyle w:val="Normal"/>
              <w:widowControl/>
              <w:bidi w:val="0"/>
              <w:spacing w:lineRule="auto" w:line="276" w:before="0" w:after="200"/>
              <w:jc w:val="start"/>
              <w:rPr/>
            </w:pPr>
            <w:r>
              <w:rPr/>
              <w:t>Requires specialized expertise</w:t>
            </w:r>
          </w:p>
        </w:tc>
      </w:tr>
      <w:tr>
        <w:trPr/>
        <w:tc>
          <w:tcPr>
            <w:tcW w:w="1728" w:type="dxa"/>
            <w:tcBorders/>
          </w:tcPr>
          <w:p>
            <w:pPr>
              <w:pStyle w:val="Normal"/>
              <w:widowControl/>
              <w:bidi w:val="0"/>
              <w:spacing w:lineRule="auto" w:line="276" w:before="0" w:after="200"/>
              <w:jc w:val="start"/>
              <w:rPr/>
            </w:pPr>
            <w:r>
              <w:rPr/>
              <w:t>MDPI survey</w:t>
            </w:r>
          </w:p>
        </w:tc>
        <w:tc>
          <w:tcPr>
            <w:tcW w:w="1728" w:type="dxa"/>
            <w:tcBorders/>
          </w:tcPr>
          <w:p>
            <w:pPr>
              <w:pStyle w:val="Normal"/>
              <w:widowControl/>
              <w:bidi w:val="0"/>
              <w:spacing w:lineRule="auto" w:line="276" w:before="0" w:after="200"/>
              <w:jc w:val="start"/>
              <w:rPr/>
            </w:pPr>
            <w:r>
              <w:rPr/>
              <w:t>Multiple modalities</w:t>
            </w:r>
          </w:p>
        </w:tc>
        <w:tc>
          <w:tcPr>
            <w:tcW w:w="1728" w:type="dxa"/>
            <w:tcBorders/>
          </w:tcPr>
          <w:p>
            <w:pPr>
              <w:pStyle w:val="Normal"/>
              <w:widowControl/>
              <w:bidi w:val="0"/>
              <w:spacing w:lineRule="auto" w:line="276" w:before="0" w:after="200"/>
              <w:jc w:val="start"/>
              <w:rPr/>
            </w:pPr>
            <w:r>
              <w:rPr/>
              <w:t>Comparative analysis</w:t>
            </w:r>
          </w:p>
        </w:tc>
        <w:tc>
          <w:tcPr>
            <w:tcW w:w="1728" w:type="dxa"/>
            <w:tcBorders/>
          </w:tcPr>
          <w:p>
            <w:pPr>
              <w:pStyle w:val="Normal"/>
              <w:widowControl/>
              <w:bidi w:val="0"/>
              <w:spacing w:lineRule="auto" w:line="276" w:before="0" w:after="200"/>
              <w:jc w:val="start"/>
              <w:rPr/>
            </w:pPr>
            <w:r>
              <w:rPr/>
              <w:t>Broad evaluation</w:t>
            </w:r>
          </w:p>
        </w:tc>
        <w:tc>
          <w:tcPr>
            <w:tcW w:w="1728" w:type="dxa"/>
            <w:tcBorders/>
          </w:tcPr>
          <w:p>
            <w:pPr>
              <w:pStyle w:val="Normal"/>
              <w:widowControl/>
              <w:bidi w:val="0"/>
              <w:spacing w:lineRule="auto" w:line="276" w:before="0" w:after="200"/>
              <w:jc w:val="start"/>
              <w:rPr/>
            </w:pPr>
            <w:r>
              <w:rPr/>
              <w:t>Limited new model design</w:t>
            </w:r>
          </w:p>
        </w:tc>
      </w:tr>
      <w:tr>
        <w:trPr/>
        <w:tc>
          <w:tcPr>
            <w:tcW w:w="1728" w:type="dxa"/>
            <w:tcBorders/>
          </w:tcPr>
          <w:p>
            <w:pPr>
              <w:pStyle w:val="Normal"/>
              <w:widowControl/>
              <w:bidi w:val="0"/>
              <w:spacing w:lineRule="auto" w:line="276" w:before="0" w:after="200"/>
              <w:jc w:val="start"/>
              <w:rPr/>
            </w:pPr>
            <w:r>
              <w:rPr/>
              <w:t>Springer QGAN</w:t>
            </w:r>
          </w:p>
        </w:tc>
        <w:tc>
          <w:tcPr>
            <w:tcW w:w="1728" w:type="dxa"/>
            <w:tcBorders/>
          </w:tcPr>
          <w:p>
            <w:pPr>
              <w:pStyle w:val="Normal"/>
              <w:widowControl/>
              <w:bidi w:val="0"/>
              <w:spacing w:lineRule="auto" w:line="276" w:before="0" w:after="200"/>
              <w:jc w:val="start"/>
              <w:rPr/>
            </w:pPr>
            <w:r>
              <w:rPr/>
              <w:t>Synthetic image generation</w:t>
            </w:r>
          </w:p>
        </w:tc>
        <w:tc>
          <w:tcPr>
            <w:tcW w:w="1728" w:type="dxa"/>
            <w:tcBorders/>
          </w:tcPr>
          <w:p>
            <w:pPr>
              <w:pStyle w:val="Normal"/>
              <w:widowControl/>
              <w:bidi w:val="0"/>
              <w:spacing w:lineRule="auto" w:line="276" w:before="0" w:after="200"/>
              <w:jc w:val="start"/>
              <w:rPr/>
            </w:pPr>
            <w:r>
              <w:rPr/>
              <w:t>Quantum GAN</w:t>
            </w:r>
          </w:p>
        </w:tc>
        <w:tc>
          <w:tcPr>
            <w:tcW w:w="1728" w:type="dxa"/>
            <w:tcBorders/>
          </w:tcPr>
          <w:p>
            <w:pPr>
              <w:pStyle w:val="Normal"/>
              <w:widowControl/>
              <w:bidi w:val="0"/>
              <w:spacing w:lineRule="auto" w:line="276" w:before="0" w:after="200"/>
              <w:jc w:val="start"/>
              <w:rPr/>
            </w:pPr>
            <w:r>
              <w:rPr/>
              <w:t>Quantum circuit insights</w:t>
            </w:r>
          </w:p>
        </w:tc>
        <w:tc>
          <w:tcPr>
            <w:tcW w:w="1728" w:type="dxa"/>
            <w:tcBorders/>
          </w:tcPr>
          <w:p>
            <w:pPr>
              <w:pStyle w:val="Normal"/>
              <w:widowControl/>
              <w:bidi w:val="0"/>
              <w:spacing w:lineRule="auto" w:line="276" w:before="0" w:after="200"/>
              <w:jc w:val="start"/>
              <w:rPr/>
            </w:pPr>
            <w:r>
              <w:rPr/>
              <w:t>Scalability concerns</w:t>
            </w:r>
          </w:p>
        </w:tc>
      </w:tr>
    </w:tbl>
    <w:p>
      <w:pPr>
        <w:pStyle w:val="Normal"/>
        <w:rPr/>
      </w:pPr>
      <w:r>
        <w:rPr/>
        <w:t>|---|---|---|---|---|</w:t>
      </w:r>
    </w:p>
    <w:p>
      <w:pPr>
        <w:pStyle w:val="Heading2"/>
        <w:rPr/>
      </w:pPr>
      <w:r>
        <w:rPr>
          <w:b/>
        </w:rPr>
        <w:t>6.6 Key Observations from Literature</w:t>
      </w:r>
    </w:p>
    <w:p>
      <w:pPr>
        <w:pStyle w:val="Normal"/>
        <w:rPr/>
      </w:pPr>
      <w:r>
        <w:rPr/>
        <w:t>Reviewing the literature reveals that classical GANs are effective at super-resolution but may not always preserve clinical detail. Quantum-inspired approaches are promising for richer latent representations, yet the field is still nascent and requires careful empirical validation. Most importantly, an integrated workflow that combines a robust model with medical validation and web deployment remains an open need.</w:t>
      </w:r>
    </w:p>
    <w:p>
      <w:pPr>
        <w:pStyle w:val="Heading1"/>
        <w:rPr/>
      </w:pPr>
      <w:r>
        <w:rPr>
          <w:b/>
        </w:rPr>
        <w:t>7. Existing Gaps (2 pages)</w:t>
      </w:r>
    </w:p>
    <w:p>
      <w:pPr>
        <w:pStyle w:val="Heading2"/>
        <w:rPr/>
      </w:pPr>
      <w:r>
        <w:rPr>
          <w:b/>
        </w:rPr>
        <w:t>7.1 Technical Gaps</w:t>
      </w:r>
    </w:p>
    <w:p>
      <w:pPr>
        <w:pStyle w:val="Normal"/>
        <w:rPr/>
      </w:pPr>
      <w:r>
        <w:rPr/>
        <w:t>GAN-based super-resolution models often suffer from training instability and artifacts, especially on medical images with fine texture and structure. Existing methods also lack a unified architecture that can be deployed easily in a clinician-facing application.</w:t>
      </w:r>
    </w:p>
    <w:p>
      <w:pPr>
        <w:pStyle w:val="Heading2"/>
        <w:rPr/>
      </w:pPr>
      <w:r>
        <w:rPr>
          <w:b/>
        </w:rPr>
        <w:t>7.2 Data Gaps</w:t>
      </w:r>
    </w:p>
    <w:p>
      <w:pPr>
        <w:pStyle w:val="Normal"/>
        <w:rPr/>
      </w:pPr>
      <w:r>
        <w:rPr/>
        <w:t>There are limited large-scale, high-resolution public medical image datasets due to patient privacy and acquisition constraints. This scarcity makes training reliable super-resolution models difficult and motivates the use of synthetic augmentation or hybrid validation techniques.</w:t>
      </w:r>
    </w:p>
    <w:p>
      <w:pPr>
        <w:pStyle w:val="Heading2"/>
        <w:rPr/>
      </w:pPr>
      <w:r>
        <w:rPr>
          <w:b/>
        </w:rPr>
        <w:t>7.3 Evaluation Gaps</w:t>
      </w:r>
    </w:p>
    <w:p>
      <w:pPr>
        <w:pStyle w:val="Normal"/>
        <w:rPr/>
      </w:pPr>
      <w:r>
        <w:rPr/>
        <w:t>Standard image metrics such as PSNR and SSIM are useful, but they do not fully capture clinical usefulness. There is a need for models to be evaluated through expert review and task-specific metrics that reflect diagnostic quality.</w:t>
      </w:r>
    </w:p>
    <w:p>
      <w:pPr>
        <w:pStyle w:val="Heading2"/>
        <w:rPr/>
      </w:pPr>
      <w:r>
        <w:rPr>
          <w:b/>
        </w:rPr>
        <w:t>7.4 Implementation Gaps</w:t>
      </w:r>
    </w:p>
    <w:p>
      <w:pPr>
        <w:pStyle w:val="Normal"/>
        <w:rPr/>
      </w:pPr>
      <w:r>
        <w:rPr/>
        <w:t>Few existing systems allow users to upload medical images safely and receive enhanced outputs in a secure web environment. Many image processing demos ignore the possibility of non-medical or irrelevant uploads, which can degrade the relevance of medical AI tools.</w:t>
      </w:r>
    </w:p>
    <w:p>
      <w:pPr>
        <w:pStyle w:val="Heading1"/>
        <w:rPr/>
      </w:pPr>
      <w:r>
        <w:rPr>
          <w:b/>
        </w:rPr>
        <w:t>8. Objectives of the Proposed Work (1 page)</w:t>
      </w:r>
    </w:p>
    <w:p>
      <w:pPr>
        <w:pStyle w:val="ListBullet"/>
        <w:numPr>
          <w:ilvl w:val="0"/>
          <w:numId w:val="1"/>
        </w:numPr>
        <w:rPr/>
      </w:pPr>
      <w:r>
        <w:rPr/>
        <w:t>Develop a secure web application for medical image upload, validation, enhancement, and result management.</w:t>
      </w:r>
    </w:p>
    <w:p>
      <w:pPr>
        <w:pStyle w:val="ListBullet"/>
        <w:numPr>
          <w:ilvl w:val="0"/>
          <w:numId w:val="1"/>
        </w:numPr>
        <w:rPr/>
      </w:pPr>
      <w:r>
        <w:rPr/>
        <w:t>Design a QGAN-inspired super-resolution model that balances image fidelity with medical detail preservation.</w:t>
      </w:r>
    </w:p>
    <w:p>
      <w:pPr>
        <w:pStyle w:val="ListBullet"/>
        <w:numPr>
          <w:ilvl w:val="0"/>
          <w:numId w:val="1"/>
        </w:numPr>
        <w:rPr/>
      </w:pPr>
      <w:r>
        <w:rPr/>
        <w:t>Implement a medical image filtering pipeline to reject non-medical uploads and improve robustness.</w:t>
      </w:r>
    </w:p>
    <w:p>
      <w:pPr>
        <w:pStyle w:val="ListBullet"/>
        <w:numPr>
          <w:ilvl w:val="0"/>
          <w:numId w:val="1"/>
        </w:numPr>
        <w:rPr/>
      </w:pPr>
      <w:r>
        <w:rPr/>
        <w:t>Compare the proposed approach against classical GAN baselines using objective metrics and qualitative analysis.</w:t>
      </w:r>
    </w:p>
    <w:p>
      <w:pPr>
        <w:pStyle w:val="ListBullet"/>
        <w:numPr>
          <w:ilvl w:val="0"/>
          <w:numId w:val="1"/>
        </w:numPr>
        <w:rPr/>
      </w:pPr>
      <w:r>
        <w:rPr/>
        <w:t>Deliver a documented prototype and a polished synopsis describing methodology and findings.</w:t>
      </w:r>
    </w:p>
    <w:p>
      <w:pPr>
        <w:pStyle w:val="Heading1"/>
        <w:rPr/>
      </w:pPr>
      <w:r>
        <w:rPr>
          <w:b/>
        </w:rPr>
        <w:t>9. Proposed Methodologies (6 pages)</w:t>
      </w:r>
    </w:p>
    <w:p>
      <w:pPr>
        <w:pStyle w:val="Heading2"/>
        <w:rPr/>
      </w:pPr>
      <w:r>
        <w:rPr>
          <w:b/>
        </w:rPr>
        <w:t>9.1 Data Collection and Dataset Preparation</w:t>
      </w:r>
    </w:p>
    <w:p>
      <w:pPr>
        <w:pStyle w:val="Normal"/>
        <w:rPr/>
      </w:pPr>
      <w:r>
        <w:rPr/>
        <w:t>Data collection will focus on publicly available medical image datasets, prioritizing modalities like chest X-ray, MRI, and ultrasound. The dataset will be organized into training, validation, and test subsets with separate folders for low-resolution and high-resolution pairs. Preprocessing will include resizing images to a consistent resolution, normalizing pixel values, and generating low-resolution inputs using bicubic downsampling. Data augmentation techniques such as rotation, translation, and contrast adjustment will increase robustness without altering diagnostic content.</w:t>
      </w:r>
    </w:p>
    <w:p>
      <w:pPr>
        <w:pStyle w:val="Heading2"/>
        <w:rPr/>
      </w:pPr>
      <w:r>
        <w:rPr>
          <w:b/>
        </w:rPr>
        <w:t>9.2 Medical Image Validation Pipeline</w:t>
      </w:r>
    </w:p>
    <w:p>
      <w:pPr>
        <w:pStyle w:val="Normal"/>
        <w:rPr/>
      </w:pPr>
      <w:r>
        <w:rPr/>
        <w:t>A reliable upload validation pipeline is critical to ensure the system processes only appropriate medical content. The proposed validation will combine heuristic checks and a trained classifier. Heuristics may examine channel composition, grayscale patterns, and structural features associated with medical scans. A custom classifier trained on medical and non-medical image examples will provide a second opinion. Uploads that fail both checks will be rejected with user feedback.</w:t>
      </w:r>
    </w:p>
    <w:p>
      <w:pPr>
        <w:pStyle w:val="Heading2"/>
        <w:rPr/>
      </w:pPr>
      <w:r>
        <w:rPr>
          <w:b/>
        </w:rPr>
        <w:t>9.3 QGAN-Inspired Model Architecture</w:t>
      </w:r>
    </w:p>
    <w:p>
      <w:pPr>
        <w:pStyle w:val="Normal"/>
        <w:rPr/>
      </w:pPr>
      <w:r>
        <w:rPr/>
        <w:t>The proposed model will use a generator-discriminator framework augmented with quantum-inspired components. The generator may include convolutional residual blocks and PCA-based feature encoding to compress relevant image structure. A small variational quantum circuit or quantum-like layer can be used to refine latent representations. The discriminator will evaluate realism and preserve medical detail. The training loss will combine adversarial loss, content loss (L1/L2), and perceptual loss from pretrained feature extractors.</w:t>
      </w:r>
    </w:p>
    <w:p>
      <w:pPr>
        <w:pStyle w:val="Heading2"/>
        <w:rPr/>
      </w:pPr>
      <w:r>
        <w:rPr>
          <w:b/>
        </w:rPr>
        <w:t>9.4 Web Application Design</w:t>
      </w:r>
    </w:p>
    <w:p>
      <w:pPr>
        <w:pStyle w:val="Normal"/>
        <w:rPr/>
      </w:pPr>
      <w:r>
        <w:rPr/>
        <w:t>The web application will be built with FastAPI for the backend and Jinja2 for templating. Uploaded images will be stored securely and metadata persisted in SQLite via SQLAlchemy. The user flow will include upload, validation, processing, result display, and a gallery page where users can view, download, or delete images. Responsive HTML and CSS will ensure usability on desktop and mobile screens.</w:t>
      </w:r>
    </w:p>
    <w:p>
      <w:pPr>
        <w:pStyle w:val="Heading2"/>
        <w:rPr/>
      </w:pPr>
      <w:r>
        <w:rPr>
          <w:b/>
        </w:rPr>
        <w:t>9.5 Experimental Setup</w:t>
      </w:r>
    </w:p>
    <w:p>
      <w:pPr>
        <w:pStyle w:val="Normal"/>
        <w:rPr/>
      </w:pPr>
      <w:r>
        <w:rPr/>
        <w:t>Experiments will run in a Python environment with PyTorch, torchvision, and necessary image libraries. Hardware resources such as a GPU will be documented. Training hyperparameters like batch size, learning rate, number of epochs, and optimizer configuration will be recorded. Evaluation will use PSNR, SSIM, and FID, along with qualitative comparison of generated images against ground truth and classical baselines.</w:t>
      </w:r>
    </w:p>
    <w:p>
      <w:pPr>
        <w:pStyle w:val="Heading2"/>
        <w:rPr/>
      </w:pPr>
      <w:r>
        <w:rPr>
          <w:b/>
        </w:rPr>
        <w:t>9.6 Implementation Plan</w:t>
      </w:r>
    </w:p>
    <w:p>
      <w:pPr>
        <w:pStyle w:val="Normal"/>
        <w:rPr/>
      </w:pPr>
      <w:r>
        <w:rPr/>
        <w:t>The implementation will follow a phased approach:</w:t>
      </w:r>
    </w:p>
    <w:p>
      <w:pPr>
        <w:pStyle w:val="ListBullet"/>
        <w:numPr>
          <w:ilvl w:val="0"/>
          <w:numId w:val="1"/>
        </w:numPr>
        <w:rPr/>
      </w:pPr>
      <w:r>
        <w:rPr/>
        <w:t>Phase 1: collect and preprocess datasets, build medical validation classifier.</w:t>
      </w:r>
    </w:p>
    <w:p>
      <w:pPr>
        <w:pStyle w:val="ListBullet"/>
        <w:numPr>
          <w:ilvl w:val="0"/>
          <w:numId w:val="1"/>
        </w:numPr>
        <w:rPr/>
      </w:pPr>
      <w:r>
        <w:rPr/>
        <w:t>Phase 2: design and train the QGAN-inspired model, iterating on architecture and loss functions.</w:t>
      </w:r>
    </w:p>
    <w:p>
      <w:pPr>
        <w:pStyle w:val="ListBullet"/>
        <w:numPr>
          <w:ilvl w:val="0"/>
          <w:numId w:val="1"/>
        </w:numPr>
        <w:rPr/>
      </w:pPr>
      <w:r>
        <w:rPr/>
        <w:t>Phase 3: integrate the model into the FastAPI web application and implement gallery management.</w:t>
      </w:r>
    </w:p>
    <w:p>
      <w:pPr>
        <w:pStyle w:val="ListBullet"/>
        <w:numPr>
          <w:ilvl w:val="0"/>
          <w:numId w:val="1"/>
        </w:numPr>
        <w:rPr/>
      </w:pPr>
      <w:r>
        <w:rPr/>
        <w:t>Phase 4: evaluate performance, compare with baselines, and finalize documentation.</w:t>
      </w:r>
    </w:p>
    <w:p>
      <w:pPr>
        <w:pStyle w:val="Heading1"/>
        <w:rPr/>
      </w:pPr>
      <w:r>
        <w:rPr>
          <w:b/>
        </w:rPr>
        <w:t>10. Expected Outcome of the Proposed Work (2 pages)</w:t>
      </w:r>
    </w:p>
    <w:p>
      <w:pPr>
        <w:pStyle w:val="Normal"/>
        <w:rPr/>
      </w:pPr>
      <w:r>
        <w:rPr/>
        <w:t>The expected outcomes include a functioning web application that can accept medical scans, validate their suitability, apply super-resolution enhancement, and allow users to download enhanced results. The model should demonstrate better PSNR and SSIM scores than a classical baseline, while also preserving clinically relevant details. The work will produce a documented prototype, a quantitative evaluation report, and clear recommendations for future research. Qualitative results will highlight improved image clarity in areas such as organ textures and anatomical edges.</w:t>
      </w:r>
    </w:p>
    <w:p>
      <w:pPr>
        <w:pStyle w:val="Heading1"/>
        <w:rPr/>
      </w:pPr>
      <w:r>
        <w:rPr>
          <w:b/>
        </w:rPr>
        <w:t>11. Future Scope of the Work (1 page)</w:t>
      </w:r>
    </w:p>
    <w:p>
      <w:pPr>
        <w:pStyle w:val="Normal"/>
        <w:rPr/>
      </w:pPr>
      <w:r>
        <w:rPr/>
        <w:t>Future work can extend the model to real quantum hardware using frameworks such as Qiskit or Pennylane. Additional modalities such as histopathology slides, retinal images, and 3D volumetric scans could be supported. Clinical validation with radiologists or doctors would provide stronger evidence of diagnostic utility. The application could also be adapted for privacy-preserving deployment in hospitals, and an edge/mobile version could support point-of-care usage in remote clinics.</w:t>
      </w:r>
    </w:p>
    <w:p>
      <w:pPr>
        <w:pStyle w:val="Heading1"/>
        <w:rPr/>
      </w:pPr>
      <w:r>
        <w:rPr>
          <w:b/>
        </w:rPr>
        <w:t>12. References (2 pages)</w:t>
      </w:r>
    </w:p>
    <w:p>
      <w:pPr>
        <w:pStyle w:val="Normal"/>
        <w:rPr/>
      </w:pPr>
      <w:r>
        <w:rPr/>
        <w:t>The references section will list all cited works in an institutionally appropriate format. It will include foundational GAN literature, quantum machine learning sources, and domain-specific medical imaging papers. Example references include:</w:t>
      </w:r>
    </w:p>
    <w:p>
      <w:pPr>
        <w:pStyle w:val="ListNumber"/>
        <w:numPr>
          <w:ilvl w:val="0"/>
          <w:numId w:val="4"/>
        </w:numPr>
        <w:rPr/>
      </w:pPr>
      <w:r>
        <w:rPr/>
        <w:t>1. Goodfellow, I., Pouget-Abadie, J., Mirza, M., et al. "Generative Adversarial Nets." Advances in Neural Information Processing Systems, 2014.</w:t>
      </w:r>
    </w:p>
    <w:p>
      <w:pPr>
        <w:pStyle w:val="ListNumber"/>
        <w:numPr>
          <w:ilvl w:val="0"/>
          <w:numId w:val="4"/>
        </w:numPr>
        <w:rPr/>
      </w:pPr>
      <w:r>
        <w:rPr/>
        <w:t>2. Ledig, C., Theis, L., Huszár, F., et al. "Photo-Realistic Single Image Super-Resolution Using a Generative Adversarial Network." CVPR, 2017.</w:t>
      </w:r>
    </w:p>
    <w:p>
      <w:pPr>
        <w:pStyle w:val="ListNumber"/>
        <w:numPr>
          <w:ilvl w:val="0"/>
          <w:numId w:val="4"/>
        </w:numPr>
        <w:rPr/>
      </w:pPr>
      <w:r>
        <w:rPr/>
        <w:t>3. Wang, Z., Bovik, A. C., Sheikh, H. R., "Image Quality Assessment: From Error Visibility to Structural Similarity." IEEE Transactions on Image Processing, 2004.</w:t>
      </w:r>
    </w:p>
    <w:p>
      <w:pPr>
        <w:pStyle w:val="ListNumber"/>
        <w:numPr>
          <w:ilvl w:val="0"/>
          <w:numId w:val="4"/>
        </w:numPr>
        <w:rPr/>
      </w:pPr>
      <w:r>
        <w:rPr/>
        <w:t>4. Khatun, A., et al. "Quantum Generative Learning for High-Resolution Medical Image Generation." Machine Learning: Science and Technology, 2025.</w:t>
      </w:r>
    </w:p>
    <w:p>
      <w:pPr>
        <w:pStyle w:val="ListNumber"/>
        <w:numPr>
          <w:ilvl w:val="0"/>
          <w:numId w:val="4"/>
        </w:numPr>
        <w:rPr/>
      </w:pPr>
      <w:r>
        <w:rPr/>
        <w:t>5. Author(s). "A Comparative Study of Generative Adversarial Networks in Medical Image Processing." MDPI.</w:t>
      </w:r>
    </w:p>
    <w:p>
      <w:pPr>
        <w:pStyle w:val="ListNumber"/>
        <w:numPr>
          <w:ilvl w:val="0"/>
          <w:numId w:val="4"/>
        </w:numPr>
        <w:rPr/>
      </w:pPr>
      <w:r>
        <w:rPr/>
        <w:t>6. Author(s). "Quantum Generative Adversarial Network for Image Generation." Springer.</w:t>
      </w:r>
    </w:p>
    <w:p>
      <w:pPr>
        <w:pStyle w:val="Normal"/>
        <w:rPr/>
      </w:pPr>
      <w:r>
        <w:rPr/>
        <w:t>---</w:t>
      </w:r>
    </w:p>
    <w:p>
      <w:pPr>
        <w:pStyle w:val="Heading1"/>
        <w:rPr/>
      </w:pPr>
      <w:r>
        <w:rPr>
          <w:b/>
        </w:rPr>
        <w:t>List of Figures</w:t>
      </w:r>
    </w:p>
    <w:p>
      <w:pPr>
        <w:pStyle w:val="ListNumber"/>
        <w:numPr>
          <w:ilvl w:val="0"/>
          <w:numId w:val="4"/>
        </w:numPr>
        <w:rPr/>
      </w:pPr>
      <w:r>
        <w:rPr/>
        <w:t>1. Figure 1: Medical image super-resolution workflow.</w:t>
      </w:r>
    </w:p>
    <w:p>
      <w:pPr>
        <w:pStyle w:val="ListNumber"/>
        <w:numPr>
          <w:ilvl w:val="0"/>
          <w:numId w:val="4"/>
        </w:numPr>
        <w:rPr/>
      </w:pPr>
      <w:r>
        <w:rPr/>
        <w:t>2. Figure 2: QGAN-inspired architecture diagram.</w:t>
      </w:r>
    </w:p>
    <w:p>
      <w:pPr>
        <w:pStyle w:val="ListNumber"/>
        <w:numPr>
          <w:ilvl w:val="0"/>
          <w:numId w:val="4"/>
        </w:numPr>
        <w:rPr/>
      </w:pPr>
      <w:r>
        <w:rPr/>
        <w:t>3. Figure 3: Web application upload and gallery flow.</w:t>
      </w:r>
    </w:p>
    <w:p>
      <w:pPr>
        <w:pStyle w:val="ListNumber"/>
        <w:numPr>
          <w:ilvl w:val="0"/>
          <w:numId w:val="4"/>
        </w:numPr>
        <w:rPr/>
      </w:pPr>
      <w:r>
        <w:rPr/>
        <w:t>4. Figure 4: Example high-resolution result vs. low-resolution input.</w:t>
      </w:r>
    </w:p>
    <w:p>
      <w:pPr>
        <w:pStyle w:val="Heading1"/>
        <w:rPr/>
      </w:pPr>
      <w:r>
        <w:rPr>
          <w:b/>
        </w:rPr>
        <w:t>List of Tables</w:t>
      </w:r>
    </w:p>
    <w:p>
      <w:pPr>
        <w:pStyle w:val="ListNumber"/>
        <w:numPr>
          <w:ilvl w:val="0"/>
          <w:numId w:val="4"/>
        </w:numPr>
        <w:rPr/>
      </w:pPr>
      <w:r>
        <w:rPr/>
        <w:t>1. Table 1: Summary of related work and model comparisons.</w:t>
      </w:r>
    </w:p>
    <w:p>
      <w:pPr>
        <w:pStyle w:val="ListNumber"/>
        <w:numPr>
          <w:ilvl w:val="0"/>
          <w:numId w:val="4"/>
        </w:numPr>
        <w:rPr/>
      </w:pPr>
      <w:r>
        <w:rPr/>
        <w:t>2. Table 2: Dataset preparation and preprocessing steps.</w:t>
      </w:r>
    </w:p>
    <w:p>
      <w:pPr>
        <w:pStyle w:val="ListNumber"/>
        <w:numPr>
          <w:ilvl w:val="0"/>
          <w:numId w:val="4"/>
        </w:numPr>
        <w:rPr/>
      </w:pPr>
      <w:r>
        <w:rPr/>
        <w:t>3. Table 3: Hyperparameter settings and evaluation metrics.</w:t>
      </w:r>
    </w:p>
    <w:p>
      <w:pPr>
        <w:pStyle w:val="Heading1"/>
        <w:rPr/>
      </w:pPr>
      <w:r>
        <w:rPr>
          <w:b/>
        </w:rPr>
        <w:t>Appendix</w:t>
      </w:r>
    </w:p>
    <w:p>
      <w:pPr>
        <w:pStyle w:val="Normal"/>
        <w:rPr/>
      </w:pPr>
      <w:r>
        <w:rPr/>
        <w:t>Appendix A: Research paper summaries with key contributions.</w:t>
      </w:r>
    </w:p>
    <w:p>
      <w:pPr>
        <w:pStyle w:val="Normal"/>
        <w:rPr/>
      </w:pPr>
      <w:r>
        <w:rPr/>
        <w:t>Appendix B: Dataset folder organization and sample image descriptions.</w:t>
      </w:r>
    </w:p>
    <w:p>
      <w:pPr>
        <w:pStyle w:val="Normal"/>
        <w:rPr/>
      </w:pPr>
      <w:r>
        <w:rPr/>
        <w:t>Appendix C: Detailed model architecture diagrams and layer descriptions.</w:t>
      </w:r>
    </w:p>
    <w:p>
      <w:pPr>
        <w:pStyle w:val="Normal"/>
        <w:widowControl/>
        <w:bidi w:val="0"/>
        <w:spacing w:lineRule="auto" w:line="276" w:before="0" w:after="200"/>
        <w:jc w:val="start"/>
        <w:rPr/>
      </w:pPr>
      <w:r>
        <w:rPr/>
        <w:t>Appendix D: Code structure and usage instructions for the web application.</w:t>
      </w:r>
    </w:p>
    <w:sectPr>
      <w:headerReference w:type="default" r:id="rId2"/>
      <w:footerReference w:type="default" r:id="rId3"/>
      <w:type w:val="nextPage"/>
      <w:pgSz w:w="12240" w:h="15840"/>
      <w:pgMar w:left="1800" w:right="1800" w:gutter="0" w:header="1440" w:top="2028" w:footer="1440" w:bottom="202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LibreOffice/25.8.6.2$Linux_X86_64 LibreOffice_project/a46b460d1686bb49c718d2ef5f88b83ff2dc4981</Application>
  <AppVersion>15.0000</AppVersion>
  <Pages>11</Pages>
  <Words>2266</Words>
  <Characters>14082</Characters>
  <CharactersWithSpaces>16176</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2026-04-09T14:44:48Z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