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B711" w14:textId="77777777" w:rsidR="00155FE7" w:rsidRPr="00155FE7" w:rsidRDefault="00155FE7" w:rsidP="00155FE7">
      <w:pPr>
        <w:spacing w:after="160"/>
      </w:pPr>
      <w:r w:rsidRPr="00155FE7">
        <w:rPr>
          <w:b/>
        </w:rPr>
        <w:t>EXPERIMENT  7</w:t>
      </w:r>
    </w:p>
    <w:p w14:paraId="0DBEDAF3" w14:textId="77777777" w:rsidR="00155FE7" w:rsidRPr="00155FE7" w:rsidRDefault="00155FE7" w:rsidP="00155FE7">
      <w:pPr>
        <w:spacing w:after="160"/>
      </w:pPr>
      <w:r w:rsidRPr="00155FE7">
        <w:rPr>
          <w:b/>
        </w:rPr>
        <w:t>INTEGRATION OF ADVANCED ANALYTICS WITH BI REPORTS USING MICROSOFT POWER BI</w:t>
      </w:r>
    </w:p>
    <w:p w14:paraId="32B192A2" w14:textId="77777777" w:rsidR="001A706C" w:rsidRDefault="001A706C">
      <w:pPr>
        <w:spacing w:after="160"/>
      </w:pPr>
    </w:p>
    <w:p w14:paraId="61532778" w14:textId="77777777" w:rsidR="001A706C" w:rsidRDefault="00342053">
      <w:pPr>
        <w:keepNext/>
        <w:spacing w:before="280" w:after="80"/>
      </w:pPr>
      <w:r>
        <w:rPr>
          <w:rFonts w:ascii="Arial" w:hAnsi="Arial"/>
          <w:b/>
          <w:color w:val="3182CE"/>
          <w:sz w:val="24"/>
        </w:rPr>
        <w:t>1</w:t>
      </w:r>
      <w:proofErr w:type="gramStart"/>
      <w:r>
        <w:rPr>
          <w:rFonts w:ascii="Arial" w:hAnsi="Arial"/>
          <w:b/>
          <w:color w:val="3182CE"/>
          <w:sz w:val="24"/>
        </w:rPr>
        <w:t xml:space="preserve">.  </w:t>
      </w:r>
      <w:r>
        <w:rPr>
          <w:rFonts w:ascii="Arial" w:hAnsi="Arial"/>
          <w:b/>
          <w:color w:val="1A365D"/>
          <w:sz w:val="24"/>
        </w:rPr>
        <w:t>AIM</w:t>
      </w:r>
      <w:proofErr w:type="gramEnd"/>
      <w:r>
        <w:rPr>
          <w:rFonts w:ascii="Arial" w:hAnsi="Arial"/>
          <w:b/>
          <w:color w:val="1A365D"/>
          <w:sz w:val="24"/>
        </w:rPr>
        <w:t xml:space="preserve"> OF THE EXPERIMENT</w:t>
      </w:r>
    </w:p>
    <w:p w14:paraId="4E1DFF88" w14:textId="77777777" w:rsidR="001A706C" w:rsidRDefault="00342053">
      <w:pPr>
        <w:spacing w:after="120"/>
      </w:pPr>
      <w:r>
        <w:rPr>
          <w:rFonts w:ascii="Calibri" w:hAnsi="Calibri"/>
          <w:color w:val="2D3748"/>
        </w:rPr>
        <w:t>To synthesize enterprise transaction datasets into diagnostic and prescriptive business intelligence reports using Microsoft Power BI, identifying critical operational drivers, cross-regional disparities, segment profitability patterns, and formulating executive-level strategic interventions.</w:t>
      </w:r>
    </w:p>
    <w:p w14:paraId="6FE0F58C" w14:textId="77777777" w:rsidR="001A706C" w:rsidRDefault="00342053">
      <w:pPr>
        <w:keepNext/>
        <w:spacing w:before="280" w:after="80"/>
      </w:pPr>
      <w:r>
        <w:rPr>
          <w:rFonts w:ascii="Arial" w:hAnsi="Arial"/>
          <w:b/>
          <w:color w:val="3182CE"/>
          <w:sz w:val="24"/>
        </w:rPr>
        <w:t xml:space="preserve">2.  </w:t>
      </w:r>
      <w:r>
        <w:rPr>
          <w:rFonts w:ascii="Arial" w:hAnsi="Arial"/>
          <w:b/>
          <w:color w:val="1A365D"/>
          <w:sz w:val="24"/>
        </w:rPr>
        <w:t>TECHNICAL &amp; ANALYTICAL OBJECTIVES</w:t>
      </w:r>
    </w:p>
    <w:p w14:paraId="2438E057" w14:textId="77777777" w:rsidR="001A706C" w:rsidRDefault="00342053">
      <w:pPr>
        <w:pStyle w:val="ListBullet"/>
        <w:spacing w:after="60"/>
      </w:pPr>
      <w:r>
        <w:rPr>
          <w:rFonts w:ascii="Calibri" w:hAnsi="Calibri"/>
          <w:color w:val="2D3748"/>
          <w:sz w:val="21"/>
        </w:rPr>
        <w:t>Perform a multi-dimensional diagnostic audit of existing reporting dashboards and high-level KPI cards.</w:t>
      </w:r>
    </w:p>
    <w:p w14:paraId="35033369" w14:textId="77777777" w:rsidR="001A706C" w:rsidRDefault="00342053">
      <w:pPr>
        <w:pStyle w:val="ListBullet"/>
        <w:spacing w:after="60"/>
      </w:pPr>
      <w:r>
        <w:rPr>
          <w:rFonts w:ascii="Calibri" w:hAnsi="Calibri"/>
          <w:color w:val="2D3748"/>
          <w:sz w:val="21"/>
        </w:rPr>
        <w:t>Investigate regional sales distributions to uncover territory concentration and revenue skews.</w:t>
      </w:r>
    </w:p>
    <w:p w14:paraId="56D819C3" w14:textId="77777777" w:rsidR="001A706C" w:rsidRDefault="00342053">
      <w:pPr>
        <w:pStyle w:val="ListBullet"/>
        <w:spacing w:after="60"/>
      </w:pPr>
      <w:r>
        <w:rPr>
          <w:rFonts w:ascii="Calibri" w:hAnsi="Calibri"/>
          <w:color w:val="2D3748"/>
          <w:sz w:val="21"/>
        </w:rPr>
        <w:t>Evaluate product category performance to isolate margin leakages versus high-profit catalysts.</w:t>
      </w:r>
    </w:p>
    <w:p w14:paraId="3B6126C8" w14:textId="77777777" w:rsidR="001A706C" w:rsidRDefault="00342053">
      <w:pPr>
        <w:pStyle w:val="ListBullet"/>
        <w:spacing w:after="60"/>
      </w:pPr>
      <w:r>
        <w:rPr>
          <w:rFonts w:ascii="Calibri" w:hAnsi="Calibri"/>
          <w:color w:val="2D3748"/>
          <w:sz w:val="21"/>
        </w:rPr>
        <w:t>Analyze customer tier contributions across Consumer, Corporate, and Home Office portfolios.</w:t>
      </w:r>
    </w:p>
    <w:p w14:paraId="19199170" w14:textId="77777777" w:rsidR="001A706C" w:rsidRDefault="00342053">
      <w:pPr>
        <w:pStyle w:val="ListBullet"/>
        <w:spacing w:after="60"/>
      </w:pPr>
      <w:r>
        <w:rPr>
          <w:rFonts w:ascii="Calibri" w:hAnsi="Calibri"/>
          <w:color w:val="2D3748"/>
          <w:sz w:val="21"/>
        </w:rPr>
        <w:t>Chart multi-year longitudinal trends to identify compound trajectory and seasonal cycles.</w:t>
      </w:r>
    </w:p>
    <w:p w14:paraId="04ED33CF" w14:textId="77777777" w:rsidR="001A706C" w:rsidRDefault="00342053">
      <w:pPr>
        <w:pStyle w:val="ListBullet"/>
        <w:spacing w:after="60"/>
      </w:pPr>
      <w:r>
        <w:rPr>
          <w:rFonts w:ascii="Calibri" w:hAnsi="Calibri"/>
          <w:color w:val="2D3748"/>
          <w:sz w:val="21"/>
        </w:rPr>
        <w:t>Construct an Evidence-Based SWOT Diagnostic Matrix correlating findings with quantitative benchmarks.</w:t>
      </w:r>
    </w:p>
    <w:p w14:paraId="1AE92F91" w14:textId="77777777" w:rsidR="001A706C" w:rsidRDefault="00342053">
      <w:pPr>
        <w:pStyle w:val="ListBullet"/>
        <w:spacing w:after="60"/>
      </w:pPr>
      <w:r>
        <w:rPr>
          <w:rFonts w:ascii="Calibri" w:hAnsi="Calibri"/>
          <w:color w:val="2D3748"/>
          <w:sz w:val="21"/>
        </w:rPr>
        <w:t>Author a structured Executive Briefing and slide presentation to defend data-driven recommendations during viva/evaluation.</w:t>
      </w:r>
    </w:p>
    <w:p w14:paraId="7ED29D52" w14:textId="77777777" w:rsidR="001A706C" w:rsidRDefault="00342053">
      <w:pPr>
        <w:keepNext/>
        <w:spacing w:before="280" w:after="80"/>
      </w:pPr>
      <w:r>
        <w:rPr>
          <w:rFonts w:ascii="Arial" w:hAnsi="Arial"/>
          <w:b/>
          <w:color w:val="3182CE"/>
          <w:sz w:val="24"/>
        </w:rPr>
        <w:t xml:space="preserve">3.  </w:t>
      </w:r>
      <w:r>
        <w:rPr>
          <w:rFonts w:ascii="Arial" w:hAnsi="Arial"/>
          <w:b/>
          <w:color w:val="1A365D"/>
          <w:sz w:val="24"/>
        </w:rPr>
        <w:t>SOFTWARE ENVIRONMENT &amp; DATASET SPECIFICATIONS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A706C" w14:paraId="6470C56B" w14:textId="77777777">
        <w:trPr>
          <w:jc w:val="center"/>
        </w:trPr>
        <w:tc>
          <w:tcPr>
            <w:tcW w:w="4680" w:type="dxa"/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5636" w14:textId="77777777" w:rsidR="001A706C" w:rsidRDefault="00342053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4680" w:type="dxa"/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4688" w14:textId="77777777" w:rsidR="001A706C" w:rsidRDefault="00342053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Technical Specification</w:t>
            </w:r>
          </w:p>
        </w:tc>
      </w:tr>
      <w:tr w:rsidR="001A706C" w14:paraId="1B9C8E13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76EE" w14:textId="77777777" w:rsidR="001A706C" w:rsidRDefault="00342053"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BI Platform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793A" w14:textId="77777777" w:rsidR="001A706C" w:rsidRDefault="00342053"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Microsoft Power BI Desktop (Version 2.x+) with Power Query Engine</w:t>
            </w:r>
          </w:p>
        </w:tc>
      </w:tr>
      <w:tr w:rsidR="001A706C" w14:paraId="6C8BF979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26DF" w14:textId="77777777" w:rsidR="001A706C" w:rsidRDefault="00342053"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Primary Dataset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2D26" w14:textId="77777777" w:rsidR="001A706C" w:rsidRDefault="00342053"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Global Superstore Dataset.xlsx (51,290 Multidimensional Transaction Records)</w:t>
            </w:r>
          </w:p>
        </w:tc>
      </w:tr>
      <w:tr w:rsidR="001A706C" w14:paraId="72B0FCF3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7BBC" w14:textId="77777777" w:rsidR="001A706C" w:rsidRDefault="00342053"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DAX Measures Evaluated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C0F9" w14:textId="77777777" w:rsidR="001A706C" w:rsidRDefault="00342053"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Total Sales, Total Profit, Total Transactions (Orders), Gross Margin %</w:t>
            </w:r>
          </w:p>
        </w:tc>
      </w:tr>
      <w:tr w:rsidR="001A706C" w14:paraId="2C8E1172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F715" w14:textId="77777777" w:rsidR="001A706C" w:rsidRDefault="00342053"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Documentation Tool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9D66" w14:textId="77777777" w:rsidR="001A706C" w:rsidRDefault="00342053"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Microsoft Word &amp; Microsoft PowerPoint (Executive Slide Deck)</w:t>
            </w:r>
          </w:p>
        </w:tc>
      </w:tr>
    </w:tbl>
    <w:p w14:paraId="61400F83" w14:textId="77777777" w:rsidR="001A706C" w:rsidRDefault="001A706C">
      <w:pPr>
        <w:spacing w:after="80"/>
      </w:pPr>
    </w:p>
    <w:p w14:paraId="71A01145" w14:textId="77777777" w:rsidR="001A706C" w:rsidRDefault="00342053">
      <w:pPr>
        <w:keepNext/>
        <w:spacing w:before="280" w:after="80"/>
      </w:pPr>
      <w:r>
        <w:rPr>
          <w:rFonts w:ascii="Arial" w:hAnsi="Arial"/>
          <w:b/>
          <w:color w:val="3182CE"/>
          <w:sz w:val="24"/>
        </w:rPr>
        <w:t xml:space="preserve">4.  </w:t>
      </w:r>
      <w:r>
        <w:rPr>
          <w:rFonts w:ascii="Arial" w:hAnsi="Arial"/>
          <w:b/>
          <w:color w:val="1A365D"/>
          <w:sz w:val="24"/>
        </w:rPr>
        <w:t>THEORETICAL FOUNDATIONS &amp; CORE DEFINITIONS (VIVA PREPARATION)</w:t>
      </w:r>
    </w:p>
    <w:p w14:paraId="24C36780" w14:textId="77777777" w:rsidR="001A706C" w:rsidRDefault="00342053">
      <w:pPr>
        <w:spacing w:after="80"/>
      </w:pPr>
      <w:r>
        <w:rPr>
          <w:rFonts w:ascii="Calibri" w:hAnsi="Calibri"/>
          <w:b/>
          <w:color w:val="1A365D"/>
          <w:sz w:val="21"/>
        </w:rPr>
        <w:t xml:space="preserve">• Descriptive vs. Diagnostic Analytics: </w:t>
      </w:r>
      <w:r>
        <w:rPr>
          <w:rFonts w:ascii="Calibri" w:hAnsi="Calibri"/>
          <w:color w:val="2D3748"/>
          <w:sz w:val="21"/>
        </w:rPr>
        <w:t>While descriptive analytics details retrospective metrics ('What happened?'), diagnostic analytics dissects dependencies, correlations, and anomalies to explain root causes ('Why did it happen?').</w:t>
      </w:r>
    </w:p>
    <w:p w14:paraId="77664E79" w14:textId="77777777" w:rsidR="001A706C" w:rsidRDefault="00342053">
      <w:pPr>
        <w:spacing w:after="80"/>
      </w:pPr>
      <w:r>
        <w:rPr>
          <w:rFonts w:ascii="Calibri" w:hAnsi="Calibri"/>
          <w:b/>
          <w:color w:val="1A365D"/>
          <w:sz w:val="21"/>
        </w:rPr>
        <w:lastRenderedPageBreak/>
        <w:t xml:space="preserve">• Key Performance Indicator (KPI) Variance: </w:t>
      </w:r>
      <w:r>
        <w:rPr>
          <w:rFonts w:ascii="Calibri" w:hAnsi="Calibri"/>
          <w:color w:val="2D3748"/>
          <w:sz w:val="21"/>
        </w:rPr>
        <w:t>The mathematical ratio evaluating realized enterprise achievements against pre-set strategic quotas, expressed as: (Actual Metric / Target Metric) * 100.</w:t>
      </w:r>
    </w:p>
    <w:p w14:paraId="2ADD61E8" w14:textId="77777777" w:rsidR="001A706C" w:rsidRDefault="00342053">
      <w:pPr>
        <w:spacing w:after="80"/>
      </w:pPr>
      <w:r>
        <w:rPr>
          <w:rFonts w:ascii="Calibri" w:hAnsi="Calibri"/>
          <w:b/>
          <w:color w:val="1A365D"/>
          <w:sz w:val="21"/>
        </w:rPr>
        <w:t xml:space="preserve">• Data-Driven Decision Making (DDDM): </w:t>
      </w:r>
      <w:r>
        <w:rPr>
          <w:rFonts w:ascii="Calibri" w:hAnsi="Calibri"/>
          <w:color w:val="2D3748"/>
          <w:sz w:val="21"/>
        </w:rPr>
        <w:t>The operational paradigm of basing organizational investments, inventory decisions, and price restructuring strictly on verified dashboard metrics rather than intuitive conjectures.</w:t>
      </w:r>
    </w:p>
    <w:p w14:paraId="0A01D521" w14:textId="77777777" w:rsidR="001A706C" w:rsidRDefault="00342053">
      <w:pPr>
        <w:spacing w:after="80"/>
      </w:pPr>
      <w:r>
        <w:rPr>
          <w:rFonts w:ascii="Calibri" w:hAnsi="Calibri"/>
          <w:b/>
          <w:color w:val="1A365D"/>
          <w:sz w:val="21"/>
        </w:rPr>
        <w:t xml:space="preserve">• Pareto Contribution &amp; Cohort Concentration: </w:t>
      </w:r>
      <w:r>
        <w:rPr>
          <w:rFonts w:ascii="Calibri" w:hAnsi="Calibri"/>
          <w:color w:val="2D3748"/>
          <w:sz w:val="21"/>
        </w:rPr>
        <w:t>The diagnostic principle identifying whether the majority of operating returns or friction points originate from a concentrated cluster of regions or customer categories.</w:t>
      </w:r>
    </w:p>
    <w:p w14:paraId="035A1049" w14:textId="77777777" w:rsidR="001A706C" w:rsidRDefault="00342053">
      <w:pPr>
        <w:keepNext/>
        <w:spacing w:before="280" w:after="80"/>
      </w:pPr>
      <w:r>
        <w:rPr>
          <w:rFonts w:ascii="Arial" w:hAnsi="Arial"/>
          <w:b/>
          <w:color w:val="3182CE"/>
          <w:sz w:val="24"/>
        </w:rPr>
        <w:t xml:space="preserve">5.  </w:t>
      </w:r>
      <w:r>
        <w:rPr>
          <w:rFonts w:ascii="Arial" w:hAnsi="Arial"/>
          <w:b/>
          <w:color w:val="1A365D"/>
          <w:sz w:val="24"/>
        </w:rPr>
        <w:t>STRUCTURED IMPLEMENTATION PROTOCOL</w:t>
      </w:r>
    </w:p>
    <w:p w14:paraId="312F63F6" w14:textId="77777777" w:rsidR="001A706C" w:rsidRDefault="00342053">
      <w:pPr>
        <w:keepNext/>
        <w:spacing w:before="160" w:after="60"/>
      </w:pPr>
      <w:r>
        <w:rPr>
          <w:rFonts w:ascii="Arial" w:hAnsi="Arial"/>
          <w:b/>
          <w:color w:val="3182CE"/>
        </w:rPr>
        <w:t>Phase 1: Workspace Initialization &amp; Baseline Metric Audit</w:t>
      </w:r>
    </w:p>
    <w:p w14:paraId="021AAAFD" w14:textId="77777777" w:rsidR="001A706C" w:rsidRDefault="00342053">
      <w:pPr>
        <w:spacing w:after="60"/>
        <w:ind w:left="360"/>
      </w:pPr>
      <w:r>
        <w:rPr>
          <w:rFonts w:ascii="Calibri" w:hAnsi="Calibri"/>
          <w:color w:val="2D3748"/>
          <w:sz w:val="20"/>
        </w:rPr>
        <w:t>1.1. Launch Microsoft Power BI Desktop and retrieve the consolidated enterprise file (.pbix) containing completed models from previous practical stages.</w:t>
      </w:r>
    </w:p>
    <w:p w14:paraId="541E5E7C" w14:textId="77777777" w:rsidR="001A706C" w:rsidRDefault="00342053">
      <w:pPr>
        <w:spacing w:after="60"/>
        <w:ind w:left="360"/>
      </w:pPr>
      <w:r>
        <w:rPr>
          <w:rFonts w:ascii="Calibri" w:hAnsi="Calibri"/>
          <w:color w:val="2D3748"/>
          <w:sz w:val="20"/>
        </w:rPr>
        <w:t>1.2. Validate data model relationships and refresh global KPI cards: verify Total Orders (25.7K / 26K), Net Profit ($1.47M), Gross Turnover ($12.64M), and Baseline Margin (~11.6% - 12%).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1A706C" w14:paraId="53C22666" w14:textId="77777777">
        <w:trPr>
          <w:jc w:val="center"/>
        </w:trPr>
        <w:tc>
          <w:tcPr>
            <w:tcW w:w="9360" w:type="dxa"/>
            <w:tcBorders>
              <w:top w:val="dashed" w:sz="8" w:space="0" w:color="CBD5E0"/>
              <w:left w:val="dashed" w:sz="8" w:space="0" w:color="CBD5E0"/>
              <w:bottom w:val="dashed" w:sz="8" w:space="0" w:color="CBD5E0"/>
              <w:right w:val="dashed" w:sz="8" w:space="0" w:color="CBD5E0"/>
            </w:tcBorders>
            <w:shd w:val="clear" w:color="auto" w:fill="F7FAFC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3CA9A8EB" w14:textId="03E7B4DE" w:rsidR="001A706C" w:rsidRDefault="00535882">
            <w:pPr>
              <w:jc w:val="center"/>
            </w:pPr>
            <w:r w:rsidRPr="00535882">
              <w:rPr>
                <w:rFonts w:ascii="Arial" w:hAnsi="Arial"/>
                <w:b/>
                <w:color w:val="A0AEC0"/>
                <w:sz w:val="20"/>
              </w:rPr>
              <w:drawing>
                <wp:inline distT="0" distB="0" distL="0" distR="0" wp14:anchorId="0A71486B" wp14:editId="36F3E240">
                  <wp:extent cx="5943600" cy="1258570"/>
                  <wp:effectExtent l="0" t="0" r="0" b="0"/>
                  <wp:docPr id="1028600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60023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5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5585C" w:rsidRPr="0055585C">
              <w:drawing>
                <wp:inline distT="0" distB="0" distL="0" distR="0" wp14:anchorId="6B125262" wp14:editId="38EF5A1C">
                  <wp:extent cx="3071126" cy="3093988"/>
                  <wp:effectExtent l="0" t="0" r="0" b="0"/>
                  <wp:docPr id="298591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5914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126" cy="309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7E787" w14:textId="77777777" w:rsidR="001A706C" w:rsidRDefault="001A706C">
      <w:pPr>
        <w:spacing w:after="80"/>
      </w:pPr>
    </w:p>
    <w:p w14:paraId="138A0308" w14:textId="77777777" w:rsidR="001A706C" w:rsidRDefault="00342053">
      <w:pPr>
        <w:keepNext/>
        <w:spacing w:before="160" w:after="60"/>
      </w:pPr>
      <w:r>
        <w:rPr>
          <w:rFonts w:ascii="Arial" w:hAnsi="Arial"/>
          <w:b/>
          <w:color w:val="3182CE"/>
        </w:rPr>
        <w:lastRenderedPageBreak/>
        <w:t>Phase 2: Granular Multi-Dimensional Diagnostics</w:t>
      </w:r>
    </w:p>
    <w:p w14:paraId="30A30D58" w14:textId="77777777" w:rsidR="001A706C" w:rsidRDefault="00342053">
      <w:pPr>
        <w:spacing w:after="60"/>
        <w:ind w:left="360"/>
      </w:pPr>
      <w:r>
        <w:rPr>
          <w:rFonts w:ascii="Calibri" w:hAnsi="Calibri"/>
          <w:color w:val="2D3748"/>
          <w:sz w:val="20"/>
        </w:rPr>
        <w:t>2.1. Geographic Ranking: Interrogate regional sales bar visuals. Document leading hubs (Western Europe &gt; $1.7M, Central America &gt; $1.2M) and identify peripheral low-yield territories (Northern Europe, Eastern US, Central Asia) to quantify regional exposure.</w:t>
      </w:r>
    </w:p>
    <w:p w14:paraId="7A43AEB9" w14:textId="77777777" w:rsidR="001A706C" w:rsidRDefault="00342053">
      <w:pPr>
        <w:spacing w:after="60"/>
        <w:ind w:left="360"/>
      </w:pPr>
      <w:r>
        <w:rPr>
          <w:rFonts w:ascii="Calibri" w:hAnsi="Calibri"/>
          <w:color w:val="2D3748"/>
          <w:sz w:val="20"/>
        </w:rPr>
        <w:t>2.2. Category Profit Margin Correlation: Dissect category metrics across Technology, Furniture, and Office Supplies. Contrast high gross sales against net operational profit yields to uncover hidden operational drag.</w:t>
      </w:r>
    </w:p>
    <w:p w14:paraId="1192F389" w14:textId="77777777" w:rsidR="001A706C" w:rsidRDefault="00342053">
      <w:pPr>
        <w:spacing w:after="60"/>
        <w:ind w:left="360"/>
      </w:pPr>
      <w:r>
        <w:rPr>
          <w:rFonts w:ascii="Calibri" w:hAnsi="Calibri"/>
          <w:color w:val="2D3748"/>
          <w:sz w:val="20"/>
        </w:rPr>
        <w:t>2.3. Customer Tier Breakdown: Segment consumer groupings across Consumer (51.06%), Corporate (30.07%), and Home Office (18.88%) to determine dependency risks.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1A706C" w14:paraId="4A92FF96" w14:textId="77777777">
        <w:trPr>
          <w:jc w:val="center"/>
        </w:trPr>
        <w:tc>
          <w:tcPr>
            <w:tcW w:w="9360" w:type="dxa"/>
            <w:tcBorders>
              <w:top w:val="dashed" w:sz="8" w:space="0" w:color="CBD5E0"/>
              <w:left w:val="dashed" w:sz="8" w:space="0" w:color="CBD5E0"/>
              <w:bottom w:val="dashed" w:sz="8" w:space="0" w:color="CBD5E0"/>
              <w:right w:val="dashed" w:sz="8" w:space="0" w:color="CBD5E0"/>
            </w:tcBorders>
            <w:shd w:val="clear" w:color="auto" w:fill="F7FAFC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7A708B0A" w14:textId="3CEE5672" w:rsidR="001A706C" w:rsidRDefault="001C7286">
            <w:pPr>
              <w:jc w:val="center"/>
            </w:pPr>
            <w:r w:rsidRPr="001C7286">
              <w:rPr>
                <w:rFonts w:ascii="Arial" w:hAnsi="Arial"/>
                <w:b/>
                <w:color w:val="A0AEC0"/>
                <w:sz w:val="20"/>
              </w:rPr>
              <w:drawing>
                <wp:inline distT="0" distB="0" distL="0" distR="0" wp14:anchorId="1E7726D0" wp14:editId="5C18B368">
                  <wp:extent cx="4077053" cy="2141406"/>
                  <wp:effectExtent l="0" t="0" r="0" b="0"/>
                  <wp:docPr id="832886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8869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053" cy="214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3E833" w14:textId="77777777" w:rsidR="001A706C" w:rsidRDefault="001A706C">
      <w:pPr>
        <w:spacing w:after="80"/>
      </w:pPr>
    </w:p>
    <w:p w14:paraId="07CFA3AE" w14:textId="77777777" w:rsidR="001A706C" w:rsidRDefault="00342053">
      <w:pPr>
        <w:keepNext/>
        <w:spacing w:before="160" w:after="60"/>
      </w:pPr>
      <w:r>
        <w:rPr>
          <w:rFonts w:ascii="Arial" w:hAnsi="Arial"/>
          <w:b/>
          <w:color w:val="3182CE"/>
        </w:rPr>
        <w:t>Phase 3: Longitudinal Trend &amp; Velocity Tracking</w:t>
      </w:r>
    </w:p>
    <w:p w14:paraId="43C6F1B3" w14:textId="77777777" w:rsidR="001A706C" w:rsidRDefault="00342053">
      <w:pPr>
        <w:spacing w:after="60"/>
        <w:ind w:left="360"/>
      </w:pPr>
      <w:r>
        <w:rPr>
          <w:rFonts w:ascii="Calibri" w:hAnsi="Calibri"/>
          <w:color w:val="2D3748"/>
          <w:sz w:val="20"/>
        </w:rPr>
        <w:t>3.1. Evaluate the multi-year progression curve (2014 to 2017). Observe consistent upward momentum rising from ~2.3M to well over 4M annually.</w:t>
      </w:r>
    </w:p>
    <w:p w14:paraId="42332F4D" w14:textId="77777777" w:rsidR="001A706C" w:rsidRDefault="00342053">
      <w:pPr>
        <w:spacing w:after="60"/>
        <w:ind w:left="360"/>
      </w:pPr>
      <w:r>
        <w:rPr>
          <w:rFonts w:ascii="Calibri" w:hAnsi="Calibri"/>
          <w:color w:val="2D3748"/>
          <w:sz w:val="20"/>
        </w:rPr>
        <w:t>3.2. Record specific quarters with surging growth along with seasonal dips to formulate demand forecasting hypotheses.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1A706C" w14:paraId="6F54A058" w14:textId="77777777">
        <w:trPr>
          <w:jc w:val="center"/>
        </w:trPr>
        <w:tc>
          <w:tcPr>
            <w:tcW w:w="9360" w:type="dxa"/>
            <w:tcBorders>
              <w:top w:val="dashed" w:sz="8" w:space="0" w:color="CBD5E0"/>
              <w:left w:val="dashed" w:sz="8" w:space="0" w:color="CBD5E0"/>
              <w:bottom w:val="dashed" w:sz="8" w:space="0" w:color="CBD5E0"/>
              <w:right w:val="dashed" w:sz="8" w:space="0" w:color="CBD5E0"/>
            </w:tcBorders>
            <w:shd w:val="clear" w:color="auto" w:fill="F7FAFC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679F8F98" w14:textId="4C2632B5" w:rsidR="001A706C" w:rsidRDefault="001C7286">
            <w:pPr>
              <w:jc w:val="center"/>
            </w:pPr>
            <w:r w:rsidRPr="001C7286">
              <w:rPr>
                <w:rFonts w:ascii="Arial" w:hAnsi="Arial"/>
                <w:b/>
                <w:color w:val="A0AEC0"/>
                <w:sz w:val="20"/>
              </w:rPr>
              <w:lastRenderedPageBreak/>
              <w:drawing>
                <wp:inline distT="0" distB="0" distL="0" distR="0" wp14:anchorId="70742264" wp14:editId="325851F6">
                  <wp:extent cx="4435224" cy="3033023"/>
                  <wp:effectExtent l="0" t="0" r="3810" b="0"/>
                  <wp:docPr id="546508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5081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5224" cy="3033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983FEA" w14:textId="77777777" w:rsidR="001A706C" w:rsidRDefault="001A706C">
      <w:pPr>
        <w:spacing w:after="80"/>
      </w:pPr>
    </w:p>
    <w:p w14:paraId="17D8B5DF" w14:textId="77777777" w:rsidR="001A706C" w:rsidRDefault="00342053">
      <w:pPr>
        <w:keepNext/>
        <w:spacing w:before="160" w:after="60"/>
      </w:pPr>
      <w:r>
        <w:rPr>
          <w:rFonts w:ascii="Arial" w:hAnsi="Arial"/>
          <w:b/>
          <w:color w:val="3182CE"/>
        </w:rPr>
        <w:t>Phase 4: Evidence-Based SWOT Diagnostic Matrix</w:t>
      </w:r>
    </w:p>
    <w:p w14:paraId="6FC5F8E3" w14:textId="77777777" w:rsidR="001A706C" w:rsidRDefault="00342053">
      <w:pPr>
        <w:spacing w:after="60"/>
        <w:ind w:left="360"/>
      </w:pPr>
      <w:r>
        <w:rPr>
          <w:rFonts w:ascii="Calibri" w:hAnsi="Calibri"/>
          <w:color w:val="2D3748"/>
          <w:sz w:val="20"/>
        </w:rPr>
        <w:t>4.1. Core Strengths: Strong margin velocity in Technology ($4.7M+ sales, $663K profit at ~14.1% margin) and overachieved overall transaction targets (102.91%).</w:t>
      </w:r>
    </w:p>
    <w:p w14:paraId="18EA043E" w14:textId="77777777" w:rsidR="001A706C" w:rsidRDefault="00342053">
      <w:pPr>
        <w:spacing w:after="60"/>
        <w:ind w:left="360"/>
      </w:pPr>
      <w:r>
        <w:rPr>
          <w:rFonts w:ascii="Calibri" w:hAnsi="Calibri"/>
          <w:color w:val="2D3748"/>
          <w:sz w:val="20"/>
        </w:rPr>
        <w:t>4.2. Critical Vulnerabilities: Significant margin compression in Furniture (yielding only ~$285K profit on $4.1M+ sales due to unchecked promotional markdowns).</w:t>
      </w:r>
    </w:p>
    <w:p w14:paraId="64B18807" w14:textId="77777777" w:rsidR="001A706C" w:rsidRDefault="00342053">
      <w:pPr>
        <w:spacing w:after="60"/>
        <w:ind w:left="360"/>
      </w:pPr>
      <w:r>
        <w:rPr>
          <w:rFonts w:ascii="Calibri" w:hAnsi="Calibri"/>
          <w:color w:val="2D3748"/>
          <w:sz w:val="20"/>
        </w:rPr>
        <w:t>4.3. Strategic Opportunities: Rationalize territory freight in lagging zones, eliminate unprofitable product discounting, and scale Corporate retention programs.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1A706C" w14:paraId="2E589137" w14:textId="77777777">
        <w:trPr>
          <w:jc w:val="center"/>
        </w:trPr>
        <w:tc>
          <w:tcPr>
            <w:tcW w:w="9360" w:type="dxa"/>
            <w:tcBorders>
              <w:top w:val="dashed" w:sz="8" w:space="0" w:color="CBD5E0"/>
              <w:left w:val="dashed" w:sz="8" w:space="0" w:color="CBD5E0"/>
              <w:bottom w:val="dashed" w:sz="8" w:space="0" w:color="CBD5E0"/>
              <w:right w:val="dashed" w:sz="8" w:space="0" w:color="CBD5E0"/>
            </w:tcBorders>
            <w:shd w:val="clear" w:color="auto" w:fill="F7FAFC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192EAABB" w14:textId="51FBEF14" w:rsidR="001A706C" w:rsidRDefault="008818DE">
            <w:pPr>
              <w:jc w:val="center"/>
            </w:pPr>
            <w:r w:rsidRPr="008818DE">
              <w:rPr>
                <w:rFonts w:ascii="Arial" w:hAnsi="Arial"/>
                <w:b/>
                <w:color w:val="A0AEC0"/>
                <w:sz w:val="20"/>
              </w:rPr>
              <w:drawing>
                <wp:inline distT="0" distB="0" distL="0" distR="0" wp14:anchorId="490FADAE" wp14:editId="7986B6C3">
                  <wp:extent cx="2171888" cy="1851820"/>
                  <wp:effectExtent l="0" t="0" r="0" b="0"/>
                  <wp:docPr id="2084202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2029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888" cy="185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7B72F" w14:textId="77777777" w:rsidR="001A706C" w:rsidRDefault="001A706C">
      <w:pPr>
        <w:spacing w:after="80"/>
      </w:pPr>
    </w:p>
    <w:p w14:paraId="06CB5581" w14:textId="77777777" w:rsidR="001A706C" w:rsidRDefault="00342053">
      <w:pPr>
        <w:keepNext/>
        <w:spacing w:before="160" w:after="60"/>
      </w:pPr>
      <w:r>
        <w:rPr>
          <w:rFonts w:ascii="Arial" w:hAnsi="Arial"/>
          <w:b/>
          <w:color w:val="3182CE"/>
        </w:rPr>
        <w:lastRenderedPageBreak/>
        <w:t>Phase 5: Executive Synthesis &amp; Viva Presentation Deliverables</w:t>
      </w:r>
    </w:p>
    <w:p w14:paraId="419BD7A8" w14:textId="77777777" w:rsidR="001A706C" w:rsidRDefault="00342053">
      <w:pPr>
        <w:spacing w:after="60"/>
        <w:ind w:left="360"/>
      </w:pPr>
      <w:r>
        <w:rPr>
          <w:rFonts w:ascii="Calibri" w:hAnsi="Calibri"/>
          <w:color w:val="2D3748"/>
          <w:sz w:val="20"/>
        </w:rPr>
        <w:t>5.1. Draft the Diagnostic Business Insight Document comprising: Objective, Dataset Details, Empirical Findings, SWOT Matrix, Strategic Interventions, and Governance Conclusion.</w:t>
      </w:r>
    </w:p>
    <w:p w14:paraId="12AD1ECD" w14:textId="77777777" w:rsidR="001A706C" w:rsidRDefault="00342053">
      <w:pPr>
        <w:spacing w:after="60"/>
        <w:ind w:left="360"/>
      </w:pPr>
      <w:r>
        <w:rPr>
          <w:rFonts w:ascii="Calibri" w:hAnsi="Calibri"/>
          <w:color w:val="2D3748"/>
          <w:sz w:val="20"/>
        </w:rPr>
        <w:t>5.2. Assemble an Executive Slide Deck (5 to 7 slides) summarizing: Executive Scorecard, Visual Diagnostics, Root-Cause Bottlenecks, and Actionable ROI Recommendations.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1A706C" w14:paraId="4D9944A4" w14:textId="77777777">
        <w:trPr>
          <w:jc w:val="center"/>
        </w:trPr>
        <w:tc>
          <w:tcPr>
            <w:tcW w:w="9360" w:type="dxa"/>
            <w:tcBorders>
              <w:top w:val="dashed" w:sz="8" w:space="0" w:color="CBD5E0"/>
              <w:left w:val="dashed" w:sz="8" w:space="0" w:color="CBD5E0"/>
              <w:bottom w:val="dashed" w:sz="8" w:space="0" w:color="CBD5E0"/>
              <w:right w:val="dashed" w:sz="8" w:space="0" w:color="CBD5E0"/>
            </w:tcBorders>
            <w:shd w:val="clear" w:color="auto" w:fill="F7FAFC"/>
            <w:tcMar>
              <w:top w:w="350" w:type="dxa"/>
              <w:left w:w="200" w:type="dxa"/>
              <w:bottom w:w="350" w:type="dxa"/>
              <w:right w:w="200" w:type="dxa"/>
            </w:tcMar>
          </w:tcPr>
          <w:p w14:paraId="48DFD272" w14:textId="096E0C65" w:rsidR="001A706C" w:rsidRDefault="00DE530F">
            <w:pPr>
              <w:jc w:val="center"/>
            </w:pPr>
            <w:r w:rsidRPr="00DE530F">
              <w:rPr>
                <w:rFonts w:ascii="Arial" w:hAnsi="Arial"/>
                <w:b/>
                <w:color w:val="A0AEC0"/>
                <w:sz w:val="20"/>
              </w:rPr>
              <w:drawing>
                <wp:inline distT="0" distB="0" distL="0" distR="0" wp14:anchorId="5DDE2833" wp14:editId="2EB91E7F">
                  <wp:extent cx="4023709" cy="2949196"/>
                  <wp:effectExtent l="0" t="0" r="0" b="3810"/>
                  <wp:docPr id="1853132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1320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709" cy="294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EB30A2" w14:textId="77777777" w:rsidR="001A706C" w:rsidRDefault="001A706C">
      <w:pPr>
        <w:spacing w:after="80"/>
      </w:pPr>
    </w:p>
    <w:p w14:paraId="58B55D4A" w14:textId="77777777" w:rsidR="001A706C" w:rsidRDefault="00342053">
      <w:pPr>
        <w:keepNext/>
        <w:spacing w:before="280" w:after="80"/>
      </w:pPr>
      <w:r>
        <w:rPr>
          <w:rFonts w:ascii="Arial" w:hAnsi="Arial"/>
          <w:b/>
          <w:color w:val="3182CE"/>
          <w:sz w:val="24"/>
        </w:rPr>
        <w:t xml:space="preserve">6.  </w:t>
      </w:r>
      <w:r>
        <w:rPr>
          <w:rFonts w:ascii="Arial" w:hAnsi="Arial"/>
          <w:b/>
          <w:color w:val="1A365D"/>
          <w:sz w:val="24"/>
        </w:rPr>
        <w:t>CONSOLIDATED DIAGNOSTIC OBSERVATIONS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A706C" w14:paraId="1B015ACB" w14:textId="77777777">
        <w:trPr>
          <w:jc w:val="center"/>
        </w:trPr>
        <w:tc>
          <w:tcPr>
            <w:tcW w:w="2340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8C0B1" w14:textId="77777777" w:rsidR="001A706C" w:rsidRDefault="0034205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Dimension / KPI</w:t>
            </w:r>
          </w:p>
        </w:tc>
        <w:tc>
          <w:tcPr>
            <w:tcW w:w="2340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513D9" w14:textId="77777777" w:rsidR="001A706C" w:rsidRDefault="0034205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Empirical Value / Share</w:t>
            </w:r>
          </w:p>
        </w:tc>
        <w:tc>
          <w:tcPr>
            <w:tcW w:w="2340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76BF6" w14:textId="77777777" w:rsidR="001A706C" w:rsidRDefault="0034205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Benchmark Status</w:t>
            </w:r>
          </w:p>
        </w:tc>
        <w:tc>
          <w:tcPr>
            <w:tcW w:w="2340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58738" w14:textId="77777777" w:rsidR="001A706C" w:rsidRDefault="0034205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Strategic Implication</w:t>
            </w:r>
          </w:p>
        </w:tc>
      </w:tr>
      <w:tr w:rsidR="001A706C" w14:paraId="721CA4AD" w14:textId="77777777">
        <w:trPr>
          <w:jc w:val="center"/>
        </w:trPr>
        <w:tc>
          <w:tcPr>
            <w:tcW w:w="23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E35B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Gross Revenue</w:t>
            </w:r>
          </w:p>
        </w:tc>
        <w:tc>
          <w:tcPr>
            <w:tcW w:w="23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EA15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$12.64M</w:t>
            </w:r>
          </w:p>
        </w:tc>
        <w:tc>
          <w:tcPr>
            <w:tcW w:w="23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B012A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97.25% of Quota ($13.0M)</w:t>
            </w:r>
          </w:p>
        </w:tc>
        <w:tc>
          <w:tcPr>
            <w:tcW w:w="23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8AAC8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Slight volume deficit; requires targeted regional acceleration.</w:t>
            </w:r>
          </w:p>
        </w:tc>
      </w:tr>
      <w:tr w:rsidR="001A706C" w14:paraId="4C664E04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681F3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Net Profit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1FEB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$1.47M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4FA3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97.83% of Quota ($1.5M)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152E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Disproportionately burdened by high furniture discounting.</w:t>
            </w:r>
          </w:p>
        </w:tc>
      </w:tr>
      <w:tr w:rsidR="001A706C" w14:paraId="57AACE6E" w14:textId="77777777">
        <w:trPr>
          <w:jc w:val="center"/>
        </w:trPr>
        <w:tc>
          <w:tcPr>
            <w:tcW w:w="23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BD429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Total Orders</w:t>
            </w:r>
          </w:p>
        </w:tc>
        <w:tc>
          <w:tcPr>
            <w:tcW w:w="23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6E12B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25,728 Transactions</w:t>
            </w:r>
          </w:p>
        </w:tc>
        <w:tc>
          <w:tcPr>
            <w:tcW w:w="23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F1E9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102.91% (Exceeded)</w:t>
            </w:r>
          </w:p>
        </w:tc>
        <w:tc>
          <w:tcPr>
            <w:tcW w:w="23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52F78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Strong transactional volume; high customer acquisition rate.</w:t>
            </w:r>
          </w:p>
        </w:tc>
      </w:tr>
      <w:tr w:rsidR="001A706C" w14:paraId="111ED71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E48DF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Top Region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76F7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Western Europe ($1.73M+)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C768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Core Revenue Driver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CD5B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 xml:space="preserve">Primary profit anchor; sustain key account </w:t>
            </w:r>
            <w:r>
              <w:rPr>
                <w:rFonts w:ascii="Calibri" w:hAnsi="Calibri"/>
                <w:color w:val="2D3748"/>
                <w:sz w:val="18"/>
              </w:rPr>
              <w:lastRenderedPageBreak/>
              <w:t>relationships.</w:t>
            </w:r>
          </w:p>
        </w:tc>
      </w:tr>
      <w:tr w:rsidR="001A706C" w14:paraId="3FC11863" w14:textId="77777777">
        <w:trPr>
          <w:jc w:val="center"/>
        </w:trPr>
        <w:tc>
          <w:tcPr>
            <w:tcW w:w="23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DF61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lastRenderedPageBreak/>
              <w:t>Lagging Category</w:t>
            </w:r>
          </w:p>
        </w:tc>
        <w:tc>
          <w:tcPr>
            <w:tcW w:w="23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6B67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Furniture (~7% Margin)</w:t>
            </w:r>
          </w:p>
        </w:tc>
        <w:tc>
          <w:tcPr>
            <w:tcW w:w="23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F5C2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Severe Margin Drag</w:t>
            </w:r>
          </w:p>
        </w:tc>
        <w:tc>
          <w:tcPr>
            <w:tcW w:w="23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D4D1" w14:textId="77777777" w:rsidR="001A706C" w:rsidRDefault="00342053">
            <w:r>
              <w:rPr>
                <w:rFonts w:ascii="Calibri" w:hAnsi="Calibri"/>
                <w:color w:val="2D3748"/>
                <w:sz w:val="18"/>
              </w:rPr>
              <w:t>Requires restructuring of discount limits and shipping allowances.</w:t>
            </w:r>
          </w:p>
        </w:tc>
      </w:tr>
    </w:tbl>
    <w:p w14:paraId="6DD16C39" w14:textId="77777777" w:rsidR="001A706C" w:rsidRDefault="001A706C">
      <w:pPr>
        <w:spacing w:after="120"/>
      </w:pPr>
    </w:p>
    <w:p w14:paraId="1631B3E1" w14:textId="77777777" w:rsidR="001A706C" w:rsidRDefault="00342053">
      <w:pPr>
        <w:keepNext/>
        <w:spacing w:before="280" w:after="80"/>
      </w:pPr>
      <w:r>
        <w:rPr>
          <w:rFonts w:ascii="Arial" w:hAnsi="Arial"/>
          <w:b/>
          <w:color w:val="3182CE"/>
          <w:sz w:val="24"/>
        </w:rPr>
        <w:t xml:space="preserve">7.  </w:t>
      </w:r>
      <w:r>
        <w:rPr>
          <w:rFonts w:ascii="Arial" w:hAnsi="Arial"/>
          <w:b/>
          <w:color w:val="1A365D"/>
          <w:sz w:val="24"/>
        </w:rPr>
        <w:t>EXECUTIVE RECOMMENDATIONS &amp; INTERVENTION ROADMAP</w:t>
      </w:r>
    </w:p>
    <w:p w14:paraId="0BCE8B3E" w14:textId="77777777" w:rsidR="001A706C" w:rsidRDefault="00342053">
      <w:pPr>
        <w:spacing w:after="80"/>
      </w:pPr>
      <w:r>
        <w:rPr>
          <w:rFonts w:ascii="Calibri" w:hAnsi="Calibri"/>
          <w:b/>
          <w:color w:val="1A365D"/>
          <w:sz w:val="21"/>
        </w:rPr>
        <w:t xml:space="preserve">• Pricing &amp; Markdown Controls on Furniture: </w:t>
      </w:r>
      <w:r>
        <w:rPr>
          <w:rFonts w:ascii="Calibri" w:hAnsi="Calibri"/>
          <w:color w:val="2D3748"/>
          <w:sz w:val="21"/>
        </w:rPr>
        <w:t>Institute a DAX-enforced dynamic discounting limit to ensure transactions maintain at least a 12% contribution margin, eliminating unhedged volume sales that erode profit.</w:t>
      </w:r>
    </w:p>
    <w:p w14:paraId="0DC08E76" w14:textId="77777777" w:rsidR="001A706C" w:rsidRDefault="00342053">
      <w:pPr>
        <w:spacing w:after="80"/>
      </w:pPr>
      <w:r>
        <w:rPr>
          <w:rFonts w:ascii="Calibri" w:hAnsi="Calibri"/>
          <w:b/>
          <w:color w:val="1A365D"/>
          <w:sz w:val="21"/>
        </w:rPr>
        <w:t xml:space="preserve">• Territory Rebalancing &amp; Logistics Optimization: </w:t>
      </w:r>
      <w:r>
        <w:rPr>
          <w:rFonts w:ascii="Calibri" w:hAnsi="Calibri"/>
          <w:color w:val="2D3748"/>
          <w:sz w:val="21"/>
        </w:rPr>
        <w:t>Rationalize supply chains in peripheral markets (e.g., Central Asia, Eastern US) to reduce fulfillment friction while doubling down on dominant Western European distribution hubs.</w:t>
      </w:r>
    </w:p>
    <w:p w14:paraId="2F25FC8A" w14:textId="77777777" w:rsidR="001A706C" w:rsidRDefault="00342053">
      <w:pPr>
        <w:spacing w:after="80"/>
      </w:pPr>
      <w:r>
        <w:rPr>
          <w:rFonts w:ascii="Calibri" w:hAnsi="Calibri"/>
          <w:b/>
          <w:color w:val="1A365D"/>
          <w:sz w:val="21"/>
        </w:rPr>
        <w:t xml:space="preserve">• Expansion of High-Margin Enterprise Accounts: </w:t>
      </w:r>
      <w:r>
        <w:rPr>
          <w:rFonts w:ascii="Calibri" w:hAnsi="Calibri"/>
          <w:color w:val="2D3748"/>
          <w:sz w:val="21"/>
        </w:rPr>
        <w:t>Capitalize on high-margin Technology hardware and Corporate clients by designing dedicated volume rebate programs rather than upfront discounts.</w:t>
      </w:r>
    </w:p>
    <w:p w14:paraId="5F561266" w14:textId="77777777" w:rsidR="001A706C" w:rsidRDefault="00342053">
      <w:pPr>
        <w:keepNext/>
        <w:spacing w:before="280" w:after="80"/>
      </w:pPr>
      <w:r>
        <w:rPr>
          <w:rFonts w:ascii="Arial" w:hAnsi="Arial"/>
          <w:b/>
          <w:color w:val="3182CE"/>
          <w:sz w:val="24"/>
        </w:rPr>
        <w:t xml:space="preserve">8.  </w:t>
      </w:r>
      <w:r>
        <w:rPr>
          <w:rFonts w:ascii="Arial" w:hAnsi="Arial"/>
          <w:b/>
          <w:color w:val="1A365D"/>
          <w:sz w:val="24"/>
        </w:rPr>
        <w:t>EXPERIMENT CONCLUSION &amp; RESULT</w:t>
      </w:r>
    </w:p>
    <w:p w14:paraId="040CABD9" w14:textId="77777777" w:rsidR="001A706C" w:rsidRDefault="00342053">
      <w:pPr>
        <w:spacing w:after="120"/>
      </w:pPr>
      <w:r>
        <w:rPr>
          <w:rFonts w:ascii="Calibri" w:hAnsi="Calibri"/>
          <w:color w:val="2D3748"/>
          <w:sz w:val="21"/>
        </w:rPr>
        <w:t>Advanced diagnostic analytics techniques were successfully coupled with business intelligence models in Microsoft Power BI. The investigation accurately quantified organizational strengths, isolated category-level margin leakages, identified customer dependency risks, and validated data-driven recommendations presented through a standardized executive deliverable format.</w:t>
      </w:r>
    </w:p>
    <w:p w14:paraId="752960AC" w14:textId="77777777" w:rsidR="001A706C" w:rsidRDefault="00342053">
      <w:pPr>
        <w:keepNext/>
        <w:spacing w:before="280" w:after="80"/>
      </w:pPr>
      <w:r>
        <w:rPr>
          <w:rFonts w:ascii="Arial" w:hAnsi="Arial"/>
          <w:b/>
          <w:color w:val="3182CE"/>
          <w:sz w:val="24"/>
        </w:rPr>
        <w:t xml:space="preserve">9.  </w:t>
      </w:r>
      <w:r>
        <w:rPr>
          <w:rFonts w:ascii="Arial" w:hAnsi="Arial"/>
          <w:b/>
          <w:color w:val="1A365D"/>
          <w:sz w:val="24"/>
        </w:rPr>
        <w:t>ACADEMIC &amp; INDUSTRY REFERENCES</w:t>
      </w:r>
    </w:p>
    <w:p w14:paraId="4F6E9334" w14:textId="77777777" w:rsidR="001A706C" w:rsidRDefault="00342053">
      <w:pPr>
        <w:pStyle w:val="ListBullet"/>
        <w:spacing w:after="40"/>
      </w:pPr>
      <w:r>
        <w:rPr>
          <w:rFonts w:ascii="Calibri" w:hAnsi="Calibri"/>
          <w:color w:val="718096"/>
          <w:sz w:val="19"/>
        </w:rPr>
        <w:t>Sharda, R., Delen, D., &amp; Turban, E. Business Intelligence, Analytics, and Data Science: A Managerial Perspective. Pearson.</w:t>
      </w:r>
    </w:p>
    <w:p w14:paraId="6012214F" w14:textId="77777777" w:rsidR="001A706C" w:rsidRDefault="00342053">
      <w:pPr>
        <w:pStyle w:val="ListBullet"/>
        <w:spacing w:after="40"/>
      </w:pPr>
      <w:r>
        <w:rPr>
          <w:rFonts w:ascii="Calibri" w:hAnsi="Calibri"/>
          <w:color w:val="718096"/>
          <w:sz w:val="19"/>
        </w:rPr>
        <w:t>Ferrari, A., &amp; Russo, M. The Definitive Guide to DAX: Business Intelligence with Microsoft Power BI and SQL Server Analysis Services.</w:t>
      </w:r>
    </w:p>
    <w:p w14:paraId="3294B15C" w14:textId="77777777" w:rsidR="001A706C" w:rsidRDefault="00342053">
      <w:pPr>
        <w:pStyle w:val="ListBullet"/>
        <w:spacing w:after="40"/>
      </w:pPr>
      <w:r>
        <w:rPr>
          <w:rFonts w:ascii="Calibri" w:hAnsi="Calibri"/>
          <w:color w:val="718096"/>
          <w:sz w:val="19"/>
        </w:rPr>
        <w:t>Kimball, R., &amp; Ross, M. The Data Warehouse Toolkit: The Definitive Guide to Dimensional Modeling. Wiley.</w:t>
      </w:r>
    </w:p>
    <w:p w14:paraId="0D64F236" w14:textId="77777777" w:rsidR="001A706C" w:rsidRDefault="00342053">
      <w:pPr>
        <w:pStyle w:val="ListBullet"/>
        <w:spacing w:after="40"/>
      </w:pPr>
      <w:r>
        <w:rPr>
          <w:rFonts w:ascii="Calibri" w:hAnsi="Calibri"/>
          <w:color w:val="718096"/>
          <w:sz w:val="19"/>
        </w:rPr>
        <w:t>Microsoft Power BI Official Documentation: Advanced Diagnostic Analytics and Scorecard Tracking.</w:t>
      </w:r>
    </w:p>
    <w:sectPr w:rsidR="001A706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565845">
    <w:abstractNumId w:val="8"/>
  </w:num>
  <w:num w:numId="2" w16cid:durableId="1831480605">
    <w:abstractNumId w:val="6"/>
  </w:num>
  <w:num w:numId="3" w16cid:durableId="645934760">
    <w:abstractNumId w:val="5"/>
  </w:num>
  <w:num w:numId="4" w16cid:durableId="688877802">
    <w:abstractNumId w:val="4"/>
  </w:num>
  <w:num w:numId="5" w16cid:durableId="2012371834">
    <w:abstractNumId w:val="7"/>
  </w:num>
  <w:num w:numId="6" w16cid:durableId="1650401445">
    <w:abstractNumId w:val="3"/>
  </w:num>
  <w:num w:numId="7" w16cid:durableId="1904169818">
    <w:abstractNumId w:val="2"/>
  </w:num>
  <w:num w:numId="8" w16cid:durableId="47344603">
    <w:abstractNumId w:val="1"/>
  </w:num>
  <w:num w:numId="9" w16cid:durableId="49579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FE7"/>
    <w:rsid w:val="001A706C"/>
    <w:rsid w:val="001C7286"/>
    <w:rsid w:val="0029639D"/>
    <w:rsid w:val="00326F90"/>
    <w:rsid w:val="005073FE"/>
    <w:rsid w:val="00535882"/>
    <w:rsid w:val="0055585C"/>
    <w:rsid w:val="008818DE"/>
    <w:rsid w:val="00A26F87"/>
    <w:rsid w:val="00AA1D8D"/>
    <w:rsid w:val="00AB239A"/>
    <w:rsid w:val="00B47730"/>
    <w:rsid w:val="00CB0664"/>
    <w:rsid w:val="00DE53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969FD87-ED5C-4ABB-BE71-1E5201045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Kushaan Aggarwal</cp:lastModifiedBy>
  <cp:revision>2</cp:revision>
  <dcterms:created xsi:type="dcterms:W3CDTF">2026-10-30T06:49:00Z</dcterms:created>
  <dcterms:modified xsi:type="dcterms:W3CDTF">2026-10-30T06:49:00Z</dcterms:modified>
  <cp:category/>
</cp:coreProperties>
</file>