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D0C74" w14:textId="77777777" w:rsidR="009A686C" w:rsidRDefault="002A16F0">
      <w:pPr>
        <w:pStyle w:val="Heading1"/>
        <w:jc w:val="center"/>
      </w:pPr>
      <w:r>
        <w:rPr>
          <w:rFonts w:ascii="Times New Roman" w:hAnsi="Times New Roman"/>
          <w:sz w:val="22"/>
        </w:rPr>
        <w:t>EXPERIMENT  8</w:t>
      </w:r>
    </w:p>
    <w:p w14:paraId="0B43B967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1. AIM:</w:t>
      </w:r>
    </w:p>
    <w:p w14:paraId="402C5040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>To design and implement report scheduling, automation, and alert mechanisms using Microsoft Power BI and develop strategies for automated report delivery, monitoring, and business performance tracking.</w:t>
      </w:r>
    </w:p>
    <w:p w14:paraId="7F0F8B0D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2. OBJECTIVES:</w:t>
      </w:r>
    </w:p>
    <w:p w14:paraId="12566FD5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>•   To understand the importance of scheduled reporting in Business Intelligence.</w:t>
      </w:r>
    </w:p>
    <w:p w14:paraId="190CE678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>•   To prepare a schedule for daily, weekly, and monthly reports.</w:t>
      </w:r>
    </w:p>
    <w:p w14:paraId="1EF243E4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>•   To design an automated report distribution matrix for different user groups.</w:t>
      </w:r>
    </w:p>
    <w:p w14:paraId="4F234171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>•   To define KPI alert conditions for monitoring business performance.</w:t>
      </w:r>
    </w:p>
    <w:p w14:paraId="16926E0F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>•   To identify alert recipients and appropriate actions for business exceptions.</w:t>
      </w:r>
    </w:p>
    <w:p w14:paraId="0A94FF68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>•   To analyze a declining-profitability scenario and recommend corrective actions.</w:t>
      </w:r>
    </w:p>
    <w:p w14:paraId="1116F6FA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>•   To document reporting automation and monitoring strategies.</w:t>
      </w:r>
    </w:p>
    <w:p w14:paraId="390D7F28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3. TOOLS / SOFTWARE REQUIRED:</w:t>
      </w:r>
    </w:p>
    <w:p w14:paraId="55D3ED0F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>•   Microsoft Power BI Desktop</w:t>
      </w:r>
    </w:p>
    <w:p w14:paraId="3E3A35E3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>•   Microsoft Power BI Service</w:t>
      </w:r>
    </w:p>
    <w:p w14:paraId="5A320C59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>•   Global Superstore Dataset.xlsx</w:t>
      </w:r>
    </w:p>
    <w:p w14:paraId="4D1085BA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>•   Microsoft Excel</w:t>
      </w:r>
    </w:p>
    <w:p w14:paraId="0DE710C8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4. DATASET USED:</w:t>
      </w:r>
      <w:r>
        <w:rPr>
          <w:rFonts w:ascii="Times New Roman" w:hAnsi="Times New Roman"/>
          <w:sz w:val="22"/>
        </w:rPr>
        <w:t xml:space="preserve"> Global Superstore Dataset.xlsx.</w:t>
      </w:r>
    </w:p>
    <w:p w14:paraId="747B84D2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>Dataset Source: Global Superstore Dataset (Kaggle)</w:t>
      </w:r>
    </w:p>
    <w:p w14:paraId="41A36706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>https://www.kaggle.com/datasets/apoorvaappz/global-super-store-dataset</w:t>
      </w:r>
    </w:p>
    <w:p w14:paraId="34B41909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5. THEORY:</w:t>
      </w:r>
    </w:p>
    <w:p w14:paraId="7C314F86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>•   Business Intelligence systems must deliver information to stakeholders at the right time. Scheduled reporting, automated distribution, and KPI alerts help organizations monitor performance and take timely actions.</w:t>
      </w:r>
    </w:p>
    <w:p w14:paraId="0AC4BF0B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>•   Power BI Service supports report subscriptions, scheduled dataset refreshes, report sharing, and data-driven alerts. These features help automate report delivery and keep users informed about important changes.</w:t>
      </w:r>
    </w:p>
    <w:p w14:paraId="38E1CA1C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>•   A scheduled reporting plan defines which reports are delivered, how often they are delivered, and who receives them.</w:t>
      </w:r>
    </w:p>
    <w:p w14:paraId="49136817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>•   A report distribution matrix maps user groups to reports, delivery frequencies, and methods such as Email, PDF, Shared Workspace, or Power BI Service.</w:t>
      </w:r>
    </w:p>
    <w:p w14:paraId="088D24FB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>•   KPI alerts notify users when a monitored value crosses a defined threshold. Examples include Profit Margin below 10%, Sales decline greater than 15%, and Returns increase greater than 20%.</w:t>
      </w:r>
    </w:p>
    <w:p w14:paraId="29D076DE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>•   Monitoring scenario analysis identifies alert triggers, responsible recipients, and corrective actions when business performance changes significantly.</w:t>
      </w:r>
    </w:p>
    <w:p w14:paraId="3D6CF9A4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6. PROCEDURE:</w:t>
      </w:r>
    </w:p>
    <w:p w14:paraId="18B1DE00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Part A: Prepare the Scheduled Reporting Plan</w:t>
      </w:r>
    </w:p>
    <w:p w14:paraId="7A9E5C2B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Step 1:</w:t>
      </w:r>
      <w:r>
        <w:rPr>
          <w:rFonts w:ascii="Times New Roman" w:hAnsi="Times New Roman"/>
          <w:sz w:val="22"/>
        </w:rPr>
        <w:t xml:space="preserve"> Open Microsoft Power BI Desktop.</w:t>
      </w:r>
    </w:p>
    <w:p w14:paraId="2842EA57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 xml:space="preserve">        Launch Power BI Desktop and open the Global Superstore report or dashboard created in the previous experiments.</w:t>
      </w:r>
    </w:p>
    <w:p w14:paraId="2A24C3E1" w14:textId="4A760DCB" w:rsidR="009A686C" w:rsidRDefault="002A16F0">
      <w:pPr>
        <w:jc w:val="center"/>
      </w:pPr>
      <w:r>
        <w:rPr>
          <w:rFonts w:ascii="Times New Roman" w:hAnsi="Times New Roman"/>
          <w:i/>
          <w:sz w:val="20"/>
        </w:rPr>
        <w:br/>
      </w:r>
      <w:r>
        <w:rPr>
          <w:rFonts w:ascii="Times New Roman" w:hAnsi="Times New Roman"/>
          <w:i/>
          <w:sz w:val="20"/>
        </w:rPr>
        <w:br/>
      </w:r>
    </w:p>
    <w:p w14:paraId="5F7B5206" w14:textId="77777777" w:rsidR="009A686C" w:rsidRDefault="002A16F0">
      <w:pPr>
        <w:jc w:val="center"/>
      </w:pPr>
      <w:r>
        <w:rPr>
          <w:rFonts w:ascii="Times New Roman" w:hAnsi="Times New Roman"/>
          <w:i/>
          <w:sz w:val="18"/>
        </w:rPr>
        <w:lastRenderedPageBreak/>
        <w:t>Fig 8.1: Opening the Power BI report</w:t>
      </w:r>
    </w:p>
    <w:p w14:paraId="19068E5E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Step 2:</w:t>
      </w:r>
      <w:r>
        <w:rPr>
          <w:rFonts w:ascii="Times New Roman" w:hAnsi="Times New Roman"/>
          <w:sz w:val="22"/>
        </w:rPr>
        <w:t xml:space="preserve"> Review the available reports and KPIs.</w:t>
      </w:r>
    </w:p>
    <w:p w14:paraId="2B906BFD" w14:textId="77777777" w:rsidR="009A686C" w:rsidRDefault="002A16F0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        Identify the report pages and business metrics that are useful for monitoring sales, profit, orders, and returns.</w:t>
      </w:r>
    </w:p>
    <w:p w14:paraId="36D2D8A2" w14:textId="4488D689" w:rsidR="00D63914" w:rsidRDefault="00D63914">
      <w:pPr>
        <w:pStyle w:val="ListParagraph"/>
      </w:pPr>
      <w:r w:rsidRPr="00D63914">
        <w:rPr>
          <w:noProof/>
        </w:rPr>
        <w:drawing>
          <wp:inline distT="0" distB="0" distL="0" distR="0" wp14:anchorId="509B2753" wp14:editId="215BB3CB">
            <wp:extent cx="6263640" cy="3461385"/>
            <wp:effectExtent l="0" t="0" r="3810" b="5715"/>
            <wp:docPr id="26361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13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9975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Step 3:</w:t>
      </w:r>
      <w:r>
        <w:rPr>
          <w:rFonts w:ascii="Times New Roman" w:hAnsi="Times New Roman"/>
          <w:sz w:val="22"/>
        </w:rPr>
        <w:t xml:space="preserve"> Create a report schedule.</w:t>
      </w:r>
    </w:p>
    <w:p w14:paraId="2C8B0176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 xml:space="preserve">        In Microsoft Excel, create a table with the report name, purpose, intended users, frequency, and planned delivery time.</w:t>
      </w:r>
    </w:p>
    <w:p w14:paraId="6BC3CB2E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Step 4:</w:t>
      </w:r>
      <w:r>
        <w:rPr>
          <w:rFonts w:ascii="Times New Roman" w:hAnsi="Times New Roman"/>
          <w:sz w:val="22"/>
        </w:rPr>
        <w:t xml:space="preserve"> Define the reporting frequencies.</w:t>
      </w:r>
    </w:p>
    <w:p w14:paraId="51569035" w14:textId="6C165D95" w:rsidR="009A686C" w:rsidRDefault="002A16F0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        Include Daily Sales Reports, Weekly Profit Reports, and Monthly Executive Dashboards. Assign suitable user groups and frequencies.</w:t>
      </w:r>
    </w:p>
    <w:p w14:paraId="766E90C4" w14:textId="7F36427B" w:rsidR="00D63914" w:rsidRDefault="00D63914">
      <w:pPr>
        <w:pStyle w:val="ListParagraph"/>
      </w:pPr>
      <w:r w:rsidRPr="00D63914">
        <w:rPr>
          <w:noProof/>
        </w:rPr>
        <w:drawing>
          <wp:anchor distT="0" distB="0" distL="114300" distR="114300" simplePos="0" relativeHeight="251658240" behindDoc="1" locked="0" layoutInCell="1" allowOverlap="1" wp14:anchorId="7B5AE31C" wp14:editId="383D71D0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7030720" cy="1165860"/>
            <wp:effectExtent l="0" t="0" r="0" b="0"/>
            <wp:wrapNone/>
            <wp:docPr id="212445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5822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1263" cy="116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1E385B" w14:textId="6FBB4AEC" w:rsidR="009A686C" w:rsidRDefault="002A16F0" w:rsidP="00D63914">
      <w:pPr>
        <w:jc w:val="center"/>
      </w:pPr>
      <w:r>
        <w:rPr>
          <w:rFonts w:ascii="Times New Roman" w:hAnsi="Times New Roman"/>
          <w:i/>
          <w:sz w:val="20"/>
        </w:rPr>
        <w:br/>
      </w:r>
    </w:p>
    <w:p w14:paraId="5404A7CD" w14:textId="77777777" w:rsidR="00D63914" w:rsidRDefault="00D63914">
      <w:pPr>
        <w:pStyle w:val="ListParagraph"/>
        <w:rPr>
          <w:rFonts w:ascii="Times New Roman" w:hAnsi="Times New Roman"/>
          <w:b/>
          <w:sz w:val="22"/>
        </w:rPr>
      </w:pPr>
    </w:p>
    <w:p w14:paraId="70998298" w14:textId="77777777" w:rsidR="00D63914" w:rsidRDefault="00D63914">
      <w:pPr>
        <w:pStyle w:val="ListParagraph"/>
        <w:rPr>
          <w:rFonts w:ascii="Times New Roman" w:hAnsi="Times New Roman"/>
          <w:b/>
          <w:sz w:val="22"/>
        </w:rPr>
      </w:pPr>
    </w:p>
    <w:p w14:paraId="02389D36" w14:textId="77777777" w:rsidR="00D63914" w:rsidRDefault="00D63914">
      <w:pPr>
        <w:pStyle w:val="ListParagraph"/>
        <w:rPr>
          <w:rFonts w:ascii="Times New Roman" w:hAnsi="Times New Roman"/>
          <w:b/>
          <w:sz w:val="22"/>
        </w:rPr>
      </w:pPr>
    </w:p>
    <w:p w14:paraId="4B64D9D8" w14:textId="4C3401DF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Part B: Design Automated Report Distribution</w:t>
      </w:r>
    </w:p>
    <w:p w14:paraId="77061027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Step 5:</w:t>
      </w:r>
      <w:r>
        <w:rPr>
          <w:rFonts w:ascii="Times New Roman" w:hAnsi="Times New Roman"/>
          <w:sz w:val="22"/>
        </w:rPr>
        <w:t xml:space="preserve"> Create a Report Distribution Matrix.</w:t>
      </w:r>
    </w:p>
    <w:p w14:paraId="3EA69C75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 xml:space="preserve">        Open Microsoft Excel and create columns for User Group, Report Name, Frequency, Delivery Method, and Responsible Person.</w:t>
      </w:r>
    </w:p>
    <w:p w14:paraId="18CD0AC0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Step 6:</w:t>
      </w:r>
      <w:r>
        <w:rPr>
          <w:rFonts w:ascii="Times New Roman" w:hAnsi="Times New Roman"/>
          <w:sz w:val="22"/>
        </w:rPr>
        <w:t xml:space="preserve"> Identify report recipients.</w:t>
      </w:r>
    </w:p>
    <w:p w14:paraId="0D221DDA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 xml:space="preserve">        Assign suitable audiences, such as sales managers for daily sales reports, finance managers for weekly profit reports, and senior management for monthly executive dashboards.</w:t>
      </w:r>
    </w:p>
    <w:p w14:paraId="70DFED37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Step 7:</w:t>
      </w:r>
      <w:r>
        <w:rPr>
          <w:rFonts w:ascii="Times New Roman" w:hAnsi="Times New Roman"/>
          <w:sz w:val="22"/>
        </w:rPr>
        <w:t xml:space="preserve"> Select the delivery method.</w:t>
      </w:r>
    </w:p>
    <w:p w14:paraId="599C3996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 xml:space="preserve">        Choose an appropriate method for each report: Email, PDF, Shared Workspace, or Power BI Service. Record the selected method in the matrix.</w:t>
      </w:r>
    </w:p>
    <w:p w14:paraId="6E5E50F6" w14:textId="7C4C6C42" w:rsidR="009A686C" w:rsidRDefault="002A16F0" w:rsidP="00D63914">
      <w:pPr>
        <w:jc w:val="center"/>
      </w:pPr>
      <w:r>
        <w:rPr>
          <w:rFonts w:ascii="Times New Roman" w:hAnsi="Times New Roman"/>
          <w:i/>
          <w:sz w:val="20"/>
        </w:rPr>
        <w:lastRenderedPageBreak/>
        <w:br/>
      </w:r>
      <w:r w:rsidR="00D63914" w:rsidRPr="00D63914">
        <w:rPr>
          <w:noProof/>
        </w:rPr>
        <w:drawing>
          <wp:inline distT="0" distB="0" distL="0" distR="0" wp14:anchorId="1AE22820" wp14:editId="5E94F2FD">
            <wp:extent cx="6263640" cy="941705"/>
            <wp:effectExtent l="0" t="0" r="3810" b="0"/>
            <wp:docPr id="154591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18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E76D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Step 8:</w:t>
      </w:r>
      <w:r>
        <w:rPr>
          <w:rFonts w:ascii="Times New Roman" w:hAnsi="Times New Roman"/>
          <w:sz w:val="22"/>
        </w:rPr>
        <w:t xml:space="preserve"> Review the distribution matrix.</w:t>
      </w:r>
    </w:p>
    <w:p w14:paraId="5B3F1664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 xml:space="preserve">        Verify that every report has an intended audience, frequency, and delivery method. Check that the plan is consistent and easy to follow.</w:t>
      </w:r>
    </w:p>
    <w:p w14:paraId="1E4AD358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Part C: Configure KPI Alert Conditions</w:t>
      </w:r>
    </w:p>
    <w:p w14:paraId="379AA8B7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Step 9:</w:t>
      </w:r>
      <w:r>
        <w:rPr>
          <w:rFonts w:ascii="Times New Roman" w:hAnsi="Times New Roman"/>
          <w:sz w:val="22"/>
        </w:rPr>
        <w:t xml:space="preserve"> Identify the KPIs to monitor.</w:t>
      </w:r>
    </w:p>
    <w:p w14:paraId="434754D7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 xml:space="preserve">        Use business measures such as Profit Margin, Sales, and Returns to define alert conditions.</w:t>
      </w:r>
    </w:p>
    <w:p w14:paraId="228E8636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Step 10:</w:t>
      </w:r>
      <w:r>
        <w:rPr>
          <w:rFonts w:ascii="Times New Roman" w:hAnsi="Times New Roman"/>
          <w:sz w:val="22"/>
        </w:rPr>
        <w:t xml:space="preserve"> Define the alert thresholds.</w:t>
      </w:r>
    </w:p>
    <w:p w14:paraId="50BF91BE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 xml:space="preserve">        Record the specified conditions: Profit Margin below 10%, Sales decline greater than 15%, and Returns increase greater than 20%.</w:t>
      </w:r>
    </w:p>
    <w:p w14:paraId="604714D7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Step 11:</w:t>
      </w:r>
      <w:r>
        <w:rPr>
          <w:rFonts w:ascii="Times New Roman" w:hAnsi="Times New Roman"/>
          <w:sz w:val="22"/>
        </w:rPr>
        <w:t xml:space="preserve"> Specify recipients and actions.</w:t>
      </w:r>
    </w:p>
    <w:p w14:paraId="21F76EBF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 xml:space="preserve">        For each alert, identify who should receive the notification and what action should be taken, such as reviewing regional performance, investigating sales decline, or checking return reasons.</w:t>
      </w:r>
    </w:p>
    <w:p w14:paraId="2C606BC8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Step 12:</w:t>
      </w:r>
      <w:r>
        <w:rPr>
          <w:rFonts w:ascii="Times New Roman" w:hAnsi="Times New Roman"/>
          <w:sz w:val="22"/>
        </w:rPr>
        <w:t xml:space="preserve"> Prepare the KPI Alert Configuration Sheet.</w:t>
      </w:r>
    </w:p>
    <w:p w14:paraId="0A139BB2" w14:textId="5A4011E0" w:rsidR="009A686C" w:rsidRDefault="002A16F0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        Create a table containing KPI, alert condition, recipient, notification/action, and follow-up responsibility. Note that actual alert availability depends on the Power BI Service visual and configuration.</w:t>
      </w:r>
    </w:p>
    <w:p w14:paraId="6EBE444A" w14:textId="66FA9883" w:rsidR="00D63914" w:rsidRDefault="00D63914">
      <w:pPr>
        <w:pStyle w:val="ListParagraph"/>
        <w:rPr>
          <w:rFonts w:ascii="Times New Roman" w:hAnsi="Times New Roman"/>
          <w:sz w:val="22"/>
        </w:rPr>
      </w:pPr>
      <w:r w:rsidRPr="00D63914">
        <w:rPr>
          <w:rFonts w:ascii="Times New Roman" w:hAnsi="Times New Roman"/>
          <w:b/>
          <w:noProof/>
          <w:sz w:val="22"/>
        </w:rPr>
        <w:drawing>
          <wp:anchor distT="0" distB="0" distL="114300" distR="114300" simplePos="0" relativeHeight="251659264" behindDoc="1" locked="0" layoutInCell="1" allowOverlap="1" wp14:anchorId="70F3C854" wp14:editId="1399CCDE">
            <wp:simplePos x="0" y="0"/>
            <wp:positionH relativeFrom="column">
              <wp:posOffset>-236220</wp:posOffset>
            </wp:positionH>
            <wp:positionV relativeFrom="paragraph">
              <wp:posOffset>10160</wp:posOffset>
            </wp:positionV>
            <wp:extent cx="6766560" cy="1135380"/>
            <wp:effectExtent l="0" t="0" r="0" b="7620"/>
            <wp:wrapNone/>
            <wp:docPr id="203030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0309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A435D4" w14:textId="153FCFDB" w:rsidR="00D63914" w:rsidRDefault="00D63914">
      <w:pPr>
        <w:pStyle w:val="ListParagraph"/>
      </w:pPr>
    </w:p>
    <w:p w14:paraId="4C901747" w14:textId="33E4FC66" w:rsidR="00D63914" w:rsidRDefault="00D63914">
      <w:pPr>
        <w:pStyle w:val="ListParagraph"/>
        <w:rPr>
          <w:rFonts w:ascii="Times New Roman" w:hAnsi="Times New Roman"/>
          <w:b/>
          <w:sz w:val="22"/>
        </w:rPr>
      </w:pPr>
    </w:p>
    <w:p w14:paraId="1484059B" w14:textId="77777777" w:rsidR="00D63914" w:rsidRDefault="00D63914">
      <w:pPr>
        <w:pStyle w:val="ListParagraph"/>
        <w:rPr>
          <w:rFonts w:ascii="Times New Roman" w:hAnsi="Times New Roman"/>
          <w:b/>
          <w:sz w:val="22"/>
        </w:rPr>
      </w:pPr>
    </w:p>
    <w:p w14:paraId="6F98F0D0" w14:textId="77777777" w:rsidR="00D63914" w:rsidRDefault="00D63914">
      <w:pPr>
        <w:pStyle w:val="ListParagraph"/>
        <w:rPr>
          <w:rFonts w:ascii="Times New Roman" w:hAnsi="Times New Roman"/>
          <w:b/>
          <w:sz w:val="22"/>
        </w:rPr>
      </w:pPr>
    </w:p>
    <w:p w14:paraId="202A07F8" w14:textId="77777777" w:rsidR="00D63914" w:rsidRDefault="00D63914">
      <w:pPr>
        <w:pStyle w:val="ListParagraph"/>
        <w:rPr>
          <w:rFonts w:ascii="Times New Roman" w:hAnsi="Times New Roman"/>
          <w:b/>
          <w:sz w:val="22"/>
        </w:rPr>
      </w:pPr>
    </w:p>
    <w:p w14:paraId="6B28C013" w14:textId="595B571E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Step 13:</w:t>
      </w:r>
      <w:r>
        <w:rPr>
          <w:rFonts w:ascii="Times New Roman" w:hAnsi="Times New Roman"/>
          <w:sz w:val="22"/>
        </w:rPr>
        <w:t xml:space="preserve"> Review the alert setup requirements.</w:t>
      </w:r>
    </w:p>
    <w:p w14:paraId="155D8002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 xml:space="preserve">        If using Power BI Service, publish the report as required and check whether the chosen dashboard tile supports data alerts. Record any configuration limitations.</w:t>
      </w:r>
    </w:p>
    <w:p w14:paraId="3F047DCE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Part D: Analyze a Monitoring Scenario</w:t>
      </w:r>
    </w:p>
    <w:p w14:paraId="2A5B20B4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Step 14:</w:t>
      </w:r>
      <w:r>
        <w:rPr>
          <w:rFonts w:ascii="Times New Roman" w:hAnsi="Times New Roman"/>
          <w:sz w:val="22"/>
        </w:rPr>
        <w:t xml:space="preserve"> Review the declining-profitability scenario.</w:t>
      </w:r>
    </w:p>
    <w:p w14:paraId="05025D34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 xml:space="preserve">        Assume that a regional branch is experiencing declining profitability. Review the available sales and profit visuals to identify possible contributing factors.</w:t>
      </w:r>
    </w:p>
    <w:p w14:paraId="46BE5621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Step 15:</w:t>
      </w:r>
      <w:r>
        <w:rPr>
          <w:rFonts w:ascii="Times New Roman" w:hAnsi="Times New Roman"/>
          <w:sz w:val="22"/>
        </w:rPr>
        <w:t xml:space="preserve"> Identify relevant alert triggers.</w:t>
      </w:r>
    </w:p>
    <w:p w14:paraId="0EFAF959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 xml:space="preserve">        Check whether the Profit Margin falls below 10% or whether Sales decline by more than 15%. Consider the Returns increase threshold of more than 20% if return data is available.</w:t>
      </w:r>
    </w:p>
    <w:p w14:paraId="4D3C7824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Step 16:</w:t>
      </w:r>
      <w:r>
        <w:rPr>
          <w:rFonts w:ascii="Times New Roman" w:hAnsi="Times New Roman"/>
          <w:sz w:val="22"/>
        </w:rPr>
        <w:t xml:space="preserve"> Identify alert recipients.</w:t>
      </w:r>
    </w:p>
    <w:p w14:paraId="23D9C862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 xml:space="preserve">        Assign the notification to the appropriate responsible users, such as the regional manager, sales manager, or finance team.</w:t>
      </w:r>
    </w:p>
    <w:p w14:paraId="74E92021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Step 17:</w:t>
      </w:r>
      <w:r>
        <w:rPr>
          <w:rFonts w:ascii="Times New Roman" w:hAnsi="Times New Roman"/>
          <w:sz w:val="22"/>
        </w:rPr>
        <w:t xml:space="preserve"> Recommend corrective actions.</w:t>
      </w:r>
    </w:p>
    <w:p w14:paraId="2E828B99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 xml:space="preserve">        Suggest actions based on the observed issue, such as investigating high-cost products, reviewing discounts, examining return patterns, or focusing on underperforming regions.</w:t>
      </w:r>
    </w:p>
    <w:p w14:paraId="61323EED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Step 18:</w:t>
      </w:r>
      <w:r>
        <w:rPr>
          <w:rFonts w:ascii="Times New Roman" w:hAnsi="Times New Roman"/>
          <w:sz w:val="22"/>
        </w:rPr>
        <w:t xml:space="preserve"> Prepare the monitoring and recommendation report.</w:t>
      </w:r>
    </w:p>
    <w:p w14:paraId="5FA4FBD6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lastRenderedPageBreak/>
        <w:t xml:space="preserve">        Summarize the scenario, alert trigger, recipient, recommended corrective action, and follow-up needed. Support observations with report or dashboard screenshots.</w:t>
      </w:r>
    </w:p>
    <w:p w14:paraId="5461A76F" w14:textId="099429A6" w:rsidR="009A686C" w:rsidRDefault="002A16F0" w:rsidP="0025218C">
      <w:pPr>
        <w:jc w:val="center"/>
      </w:pPr>
      <w:r>
        <w:rPr>
          <w:rFonts w:ascii="Times New Roman" w:hAnsi="Times New Roman"/>
          <w:i/>
          <w:sz w:val="20"/>
        </w:rPr>
        <w:br/>
      </w:r>
      <w:r w:rsidR="0025218C" w:rsidRPr="0025218C">
        <w:rPr>
          <w:noProof/>
        </w:rPr>
        <w:drawing>
          <wp:inline distT="0" distB="0" distL="0" distR="0" wp14:anchorId="140E7184" wp14:editId="00A557B4">
            <wp:extent cx="6263640" cy="3122930"/>
            <wp:effectExtent l="0" t="0" r="3810" b="1270"/>
            <wp:docPr id="190442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25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11FF8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Part E: Validate and Finalize Deliverables</w:t>
      </w:r>
    </w:p>
    <w:p w14:paraId="46145458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Step 19:</w:t>
      </w:r>
      <w:r>
        <w:rPr>
          <w:rFonts w:ascii="Times New Roman" w:hAnsi="Times New Roman"/>
          <w:sz w:val="22"/>
        </w:rPr>
        <w:t xml:space="preserve"> Validate the reporting plan and matrix.</w:t>
      </w:r>
    </w:p>
    <w:p w14:paraId="14F4995A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 xml:space="preserve">        Check that daily, weekly, and monthly reports have clearly defined users, frequencies, and delivery methods.</w:t>
      </w:r>
    </w:p>
    <w:p w14:paraId="06ABBBF5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Step 20:</w:t>
      </w:r>
      <w:r>
        <w:rPr>
          <w:rFonts w:ascii="Times New Roman" w:hAnsi="Times New Roman"/>
          <w:sz w:val="22"/>
        </w:rPr>
        <w:t xml:space="preserve"> Validate KPI alert conditions.</w:t>
      </w:r>
    </w:p>
    <w:p w14:paraId="05566A91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 xml:space="preserve">        Verify that each KPI threshold, recipient, and response action is documented correctly.</w:t>
      </w:r>
    </w:p>
    <w:p w14:paraId="5F42F7DE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Step 21:</w:t>
      </w:r>
      <w:r>
        <w:rPr>
          <w:rFonts w:ascii="Times New Roman" w:hAnsi="Times New Roman"/>
          <w:sz w:val="22"/>
        </w:rPr>
        <w:t xml:space="preserve"> Capture the dashboard screenshot.</w:t>
      </w:r>
    </w:p>
    <w:p w14:paraId="272BEC85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 xml:space="preserve">        Capture a clear screenshot of the relevant Power BI dashboard and insert it in the report.</w:t>
      </w:r>
    </w:p>
    <w:p w14:paraId="3FB0B68B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Step 22:</w:t>
      </w:r>
      <w:r>
        <w:rPr>
          <w:rFonts w:ascii="Times New Roman" w:hAnsi="Times New Roman"/>
          <w:sz w:val="22"/>
        </w:rPr>
        <w:t xml:space="preserve"> Compile the final deliverables.</w:t>
      </w:r>
    </w:p>
    <w:p w14:paraId="7957D878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 xml:space="preserve">        Prepare the Scheduled Reporting Plan, Report Distribution Matrix, KPI Alert Configuration Sheet, Dashboard Screenshot, and Monitoring and Recommendation Report.</w:t>
      </w:r>
    </w:p>
    <w:p w14:paraId="3A187BF7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7. RESULT:</w:t>
      </w:r>
    </w:p>
    <w:p w14:paraId="58587CAF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>Report scheduling, automation, and alert strategies were successfully designed. A scheduled reporting plan, report distribution matrix, KPI alert configuration sheet, and monitoring recommendations were prepared to support business operations.</w:t>
      </w:r>
    </w:p>
    <w:p w14:paraId="55B42A21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8. LEARNING OUTCOMES:</w:t>
      </w:r>
    </w:p>
    <w:p w14:paraId="7BC104AF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>•   Applied report scheduling concepts in Business Intelligence systems.</w:t>
      </w:r>
    </w:p>
    <w:p w14:paraId="36DD9F77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>•   Designed automated report distribution strategies.</w:t>
      </w:r>
    </w:p>
    <w:p w14:paraId="6F3B75AA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>•   Analyzed KPI monitoring requirements.</w:t>
      </w:r>
    </w:p>
    <w:p w14:paraId="571DE801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>•   Evaluated alert mechanisms for business decision support.</w:t>
      </w:r>
    </w:p>
    <w:p w14:paraId="315A41E9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>•   Developed recommendations for BI operations.</w:t>
      </w:r>
    </w:p>
    <w:p w14:paraId="6E9F4F6C" w14:textId="77777777" w:rsidR="009A686C" w:rsidRDefault="002A16F0">
      <w:pPr>
        <w:pStyle w:val="ListParagraph"/>
      </w:pPr>
      <w:r>
        <w:rPr>
          <w:rFonts w:ascii="Times New Roman" w:hAnsi="Times New Roman"/>
          <w:b/>
          <w:sz w:val="22"/>
        </w:rPr>
        <w:t>9. TEXT / REFERENCE BOOKS:</w:t>
      </w:r>
    </w:p>
    <w:p w14:paraId="70B6E2E2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>•   Sharda, Delen &amp; Turban, Business Intelligence and Analytics.</w:t>
      </w:r>
    </w:p>
    <w:p w14:paraId="332AF3A9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>•   Cindi Howson, Successful Business Intelligence.</w:t>
      </w:r>
    </w:p>
    <w:p w14:paraId="11D2621B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>•   Rick Sherman, Business Intelligence Guidebook.</w:t>
      </w:r>
    </w:p>
    <w:p w14:paraId="4F0A52C4" w14:textId="77777777" w:rsidR="009A686C" w:rsidRDefault="002A16F0">
      <w:pPr>
        <w:pStyle w:val="ListParagraph"/>
      </w:pPr>
      <w:r>
        <w:rPr>
          <w:rFonts w:ascii="Times New Roman" w:hAnsi="Times New Roman"/>
          <w:sz w:val="22"/>
        </w:rPr>
        <w:t>•   Microsoft Power BI Documentation.</w:t>
      </w:r>
    </w:p>
    <w:sectPr w:rsidR="009A686C" w:rsidSect="00184CAD">
      <w:pgSz w:w="12240" w:h="15840"/>
      <w:pgMar w:top="1008" w:right="1152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D7D"/>
    <w:multiLevelType w:val="hybridMultilevel"/>
    <w:tmpl w:val="511038C8"/>
    <w:lvl w:ilvl="0" w:tplc="8E0A8974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A7C63"/>
    <w:multiLevelType w:val="hybridMultilevel"/>
    <w:tmpl w:val="F1B8D70A"/>
    <w:lvl w:ilvl="0" w:tplc="8E0A8974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9C25B7"/>
    <w:multiLevelType w:val="hybridMultilevel"/>
    <w:tmpl w:val="0A5E10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D32C69"/>
    <w:multiLevelType w:val="hybridMultilevel"/>
    <w:tmpl w:val="7B8E98B0"/>
    <w:lvl w:ilvl="0" w:tplc="0082C9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90E5C"/>
    <w:multiLevelType w:val="hybridMultilevel"/>
    <w:tmpl w:val="35E4BB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74F150D"/>
    <w:multiLevelType w:val="hybridMultilevel"/>
    <w:tmpl w:val="A33E0A3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84C41B3"/>
    <w:multiLevelType w:val="hybridMultilevel"/>
    <w:tmpl w:val="618484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8745504"/>
    <w:multiLevelType w:val="hybridMultilevel"/>
    <w:tmpl w:val="A4C6D6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B3A47FC"/>
    <w:multiLevelType w:val="hybridMultilevel"/>
    <w:tmpl w:val="B02C20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80C1BB8"/>
    <w:multiLevelType w:val="hybridMultilevel"/>
    <w:tmpl w:val="281C2D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C8402D4"/>
    <w:multiLevelType w:val="hybridMultilevel"/>
    <w:tmpl w:val="814268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DBC4FD5"/>
    <w:multiLevelType w:val="hybridMultilevel"/>
    <w:tmpl w:val="955A4A2A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EF23823"/>
    <w:multiLevelType w:val="hybridMultilevel"/>
    <w:tmpl w:val="B9C8C4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4943BA2"/>
    <w:multiLevelType w:val="hybridMultilevel"/>
    <w:tmpl w:val="D9960A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FD9153C"/>
    <w:multiLevelType w:val="hybridMultilevel"/>
    <w:tmpl w:val="B8D678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91D2305"/>
    <w:multiLevelType w:val="hybridMultilevel"/>
    <w:tmpl w:val="50D8F5DC"/>
    <w:lvl w:ilvl="0" w:tplc="8E0A8974">
      <w:numFmt w:val="bullet"/>
      <w:lvlText w:val="•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67208966">
    <w:abstractNumId w:val="3"/>
  </w:num>
  <w:num w:numId="2" w16cid:durableId="1760787908">
    <w:abstractNumId w:val="2"/>
  </w:num>
  <w:num w:numId="3" w16cid:durableId="1799763679">
    <w:abstractNumId w:val="9"/>
  </w:num>
  <w:num w:numId="4" w16cid:durableId="190152047">
    <w:abstractNumId w:val="13"/>
  </w:num>
  <w:num w:numId="5" w16cid:durableId="1344240489">
    <w:abstractNumId w:val="4"/>
  </w:num>
  <w:num w:numId="6" w16cid:durableId="1932542038">
    <w:abstractNumId w:val="10"/>
  </w:num>
  <w:num w:numId="7" w16cid:durableId="170998052">
    <w:abstractNumId w:val="7"/>
  </w:num>
  <w:num w:numId="8" w16cid:durableId="1930919605">
    <w:abstractNumId w:val="8"/>
  </w:num>
  <w:num w:numId="9" w16cid:durableId="1423643210">
    <w:abstractNumId w:val="11"/>
  </w:num>
  <w:num w:numId="10" w16cid:durableId="2008826836">
    <w:abstractNumId w:val="12"/>
  </w:num>
  <w:num w:numId="11" w16cid:durableId="1547372620">
    <w:abstractNumId w:val="14"/>
  </w:num>
  <w:num w:numId="12" w16cid:durableId="124201144">
    <w:abstractNumId w:val="6"/>
  </w:num>
  <w:num w:numId="13" w16cid:durableId="1971739475">
    <w:abstractNumId w:val="5"/>
  </w:num>
  <w:num w:numId="14" w16cid:durableId="1235972058">
    <w:abstractNumId w:val="1"/>
  </w:num>
  <w:num w:numId="15" w16cid:durableId="1227765265">
    <w:abstractNumId w:val="15"/>
  </w:num>
  <w:num w:numId="16" w16cid:durableId="1156410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CAD"/>
    <w:rsid w:val="00040735"/>
    <w:rsid w:val="00055156"/>
    <w:rsid w:val="00095435"/>
    <w:rsid w:val="000B50A7"/>
    <w:rsid w:val="000E52C2"/>
    <w:rsid w:val="00184CAD"/>
    <w:rsid w:val="001969EA"/>
    <w:rsid w:val="001F19CC"/>
    <w:rsid w:val="001F4E37"/>
    <w:rsid w:val="00232F3C"/>
    <w:rsid w:val="0025218C"/>
    <w:rsid w:val="002A16F0"/>
    <w:rsid w:val="00322877"/>
    <w:rsid w:val="00387138"/>
    <w:rsid w:val="00393028"/>
    <w:rsid w:val="0040006C"/>
    <w:rsid w:val="00404E63"/>
    <w:rsid w:val="00440386"/>
    <w:rsid w:val="00492442"/>
    <w:rsid w:val="00497BDF"/>
    <w:rsid w:val="0052566A"/>
    <w:rsid w:val="005A01BA"/>
    <w:rsid w:val="005B66EE"/>
    <w:rsid w:val="005D5CC9"/>
    <w:rsid w:val="005D6FB6"/>
    <w:rsid w:val="005E07AC"/>
    <w:rsid w:val="005F5303"/>
    <w:rsid w:val="00717743"/>
    <w:rsid w:val="00767428"/>
    <w:rsid w:val="00776215"/>
    <w:rsid w:val="007B1917"/>
    <w:rsid w:val="007C3270"/>
    <w:rsid w:val="007C6FEF"/>
    <w:rsid w:val="00812294"/>
    <w:rsid w:val="008364A1"/>
    <w:rsid w:val="00861D57"/>
    <w:rsid w:val="008C45A8"/>
    <w:rsid w:val="009276A8"/>
    <w:rsid w:val="009A686C"/>
    <w:rsid w:val="009D4BEB"/>
    <w:rsid w:val="00A00CC3"/>
    <w:rsid w:val="00A723DE"/>
    <w:rsid w:val="00A82489"/>
    <w:rsid w:val="00A84915"/>
    <w:rsid w:val="00A9370E"/>
    <w:rsid w:val="00BC08A1"/>
    <w:rsid w:val="00BD4046"/>
    <w:rsid w:val="00BD4200"/>
    <w:rsid w:val="00C0398F"/>
    <w:rsid w:val="00C11AA0"/>
    <w:rsid w:val="00C22762"/>
    <w:rsid w:val="00C82C43"/>
    <w:rsid w:val="00CA770C"/>
    <w:rsid w:val="00CA77EA"/>
    <w:rsid w:val="00CF61AC"/>
    <w:rsid w:val="00D04B38"/>
    <w:rsid w:val="00D20DE3"/>
    <w:rsid w:val="00D27C69"/>
    <w:rsid w:val="00D46F3C"/>
    <w:rsid w:val="00D6239A"/>
    <w:rsid w:val="00D63914"/>
    <w:rsid w:val="00DA22E2"/>
    <w:rsid w:val="00DF1417"/>
    <w:rsid w:val="00DF5FF3"/>
    <w:rsid w:val="00E76976"/>
    <w:rsid w:val="00F136F9"/>
    <w:rsid w:val="00F319AA"/>
    <w:rsid w:val="00F41DB1"/>
    <w:rsid w:val="00F44896"/>
    <w:rsid w:val="00F63A6B"/>
    <w:rsid w:val="00F702BF"/>
    <w:rsid w:val="00F845BC"/>
    <w:rsid w:val="00F86F4B"/>
    <w:rsid w:val="00FC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0C2F1"/>
  <w15:chartTrackingRefBased/>
  <w15:docId w15:val="{FE71DE76-9167-47CF-B834-57E55865E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4A1"/>
  </w:style>
  <w:style w:type="paragraph" w:styleId="Heading1">
    <w:name w:val="heading 1"/>
    <w:basedOn w:val="Normal"/>
    <w:next w:val="Normal"/>
    <w:link w:val="Heading1Char"/>
    <w:uiPriority w:val="9"/>
    <w:qFormat/>
    <w:rsid w:val="00184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C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C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C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C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C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C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CA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84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C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C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C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27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7B3C65-C29E-43C7-A424-9208188A0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1108</Words>
  <Characters>6316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DANIYAH SAJID</dc:creator>
  <cp:keywords/>
  <dc:description/>
  <cp:lastModifiedBy>Kushaan Aggarwal</cp:lastModifiedBy>
  <cp:revision>2</cp:revision>
  <dcterms:created xsi:type="dcterms:W3CDTF">2026-10-30T07:11:00Z</dcterms:created>
  <dcterms:modified xsi:type="dcterms:W3CDTF">2026-10-30T07:11:00Z</dcterms:modified>
</cp:coreProperties>
</file>