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t xml:space="preserve">Privacy-Preserving Secure Cloud Storage Using Hybrid Encryption and Attribute-Based Access Control</w:t>
      </w:r>
    </w:p>
    <w:p>
      <w:pPr>
        <w:pStyle w:val="Subtitle"/>
        <w:jc w:val="center"/>
      </w:pPr>
      <w:r>
        <w:rPr>
          <w:i/>
        </w:rPr>
        <w:t xml:space="preserve">Vansh Sharma  ·  Kushagra Goyal  ·  Geetanshi Singh  ·  Himanshi Kumar</w:t>
      </w:r>
    </w:p>
    <w:p>
      <w:pPr>
        <w:pStyle w:val="Subtitle"/>
        <w:jc w:val="center"/>
      </w:pPr>
      <w:r>
        <w:rPr>
          <w:i/>
        </w:rPr>
        <w:t xml:space="preserve">Department of Computer Science &amp; Engineering</w:t>
      </w:r>
    </w:p>
    <w:p>
      <w:pPr>
        <w:pStyle w:val="Heading1"/>
        <w:keepNext/>
      </w:pPr>
      <w:r>
        <w:t xml:space="preserve">I. Problem Definition</w:t>
      </w:r>
    </w:p>
    <w:p>
      <w:pPr>
        <w:pStyle w:val="Heading2"/>
        <w:keepNext/>
      </w:pPr>
      <w:r>
        <w:t xml:space="preserve">A. Context</w:t>
      </w:r>
    </w:p>
    <w:p>
      <w:pPr>
        <w:pStyle w:val="Normal"/>
      </w:pPr>
      <w:r>
        <w:t xml:space="preserve">A growing number of organisations now store sensitive material — health records, financial documents, and government files — on third-party platforms such as AWS S3 or Azure Blob. This shift introduces three structural weaknesses.</w:t>
      </w:r>
    </w:p>
    <w:p>
      <w:pPr>
        <w:pStyle w:val="Normal"/>
      </w:pPr>
      <w:r>
        <w:t xml:space="preserve">First, the provider holds the keys. Server-side “encryption at rest” such as SSE-S3 or SSE-KMS uses keys that the cloud provider itself controls. As a result, a malicious insider, a legal subpoena, or a compromised control plane can all recover the plaintext. The provider is, at best, honest-but-curious.</w:t>
      </w:r>
    </w:p>
    <w:p>
      <w:pPr>
        <w:pStyle w:val="Normal"/>
      </w:pPr>
      <w:r>
        <w:t xml:space="preserve">Second, access control is coarse-grained and is enforced by the cloud layer rather than by the data itself. IAM policies and ACLs can express “user X may read object Y,” but they cannot naturally express a rule such as “any cardiologist in the Delhi branch with clearance level 3 or higher, during working hours.” If that enforcement layer is bypassed, the plaintext is immediately exposed.</w:t>
      </w:r>
    </w:p>
    <w:p>
      <w:pPr>
        <w:pStyle w:val="Normal"/>
      </w:pPr>
      <w:r>
        <w:t xml:space="preserve">Third, sharing tends to break confidentiality. When a file must reach many users, an organisation must either distribute the raw key — which makes revocation practically impossible — or re-encrypt a separate copy for every recipient, which does not scale.</w:t>
      </w:r>
    </w:p>
    <w:p>
      <w:pPr>
        <w:pStyle w:val="Heading2"/>
        <w:keepNext/>
      </w:pPr>
      <w:r>
        <w:t xml:space="preserve">B. Core Problem Statement</w:t>
      </w:r>
    </w:p>
    <w:p>
      <w:pPr>
        <w:pStyle w:val="Normal"/>
      </w:pPr>
      <w:r>
        <w:t xml:space="preserve">No existing cloud-storage system simultaneously provides fine-grained access control, efficient key management, near-instant revocation, post-quantum resistance, and search over encrypted data without sacrificing security, performance, or usability. This project targets that combined gap.</w:t>
      </w:r>
    </w:p>
    <w:p>
      <w:pPr>
        <w:pStyle w:val="Heading2"/>
        <w:keepNext/>
      </w:pPr>
      <w:r>
        <w:t xml:space="preserve">C. The Fundamental Tension</w:t>
      </w:r>
    </w:p>
    <w:p>
      <w:pPr>
        <w:pStyle w:val="Normal"/>
      </w:pPr>
      <w:r>
        <w:t xml:space="preserve">Four recurring tensions emerged from the literature we surveyed:</w:t>
      </w:r>
    </w:p>
    <w:p>
      <w:pPr>
        <w:pStyle w:val="ListParagraph"/>
        <w:numPr>
          <w:ilvl w:val="0"/>
          <w:numId w:val="1"/>
        </w:numPr>
        <w:spacing w:after="80"/>
      </w:pPr>
      <w:r>
        <w:t xml:space="preserve">Fine-grained control versus computational cost — single-authority ABE schemes tend to suffer from key escrow, heavy overhead, and clumsy revocation.</w:t>
      </w:r>
    </w:p>
    <w:p>
      <w:pPr>
        <w:pStyle w:val="ListParagraph"/>
        <w:numPr>
          <w:ilvl w:val="0"/>
          <w:numId w:val="1"/>
        </w:numPr>
        <w:spacing w:after="80"/>
      </w:pPr>
      <w:r>
        <w:t xml:space="preserve">Real-time response versus batch processing — most existing schemes update keys only periodically, which leaves a dangerous exposure window in fast-moving environments such as IoT or connected vehicles.</w:t>
      </w:r>
    </w:p>
    <w:p>
      <w:pPr>
        <w:pStyle w:val="ListParagraph"/>
        <w:numPr>
          <w:ilvl w:val="0"/>
          <w:numId w:val="1"/>
        </w:numPr>
        <w:spacing w:after="80"/>
      </w:pPr>
      <w:r>
        <w:t xml:space="preserve">Centralised trust versus decentralised resilience — many designs still rely on classical hardness assumptions, a single trusted authority, and static access policies.</w:t>
      </w:r>
    </w:p>
    <w:p>
      <w:pPr>
        <w:pStyle w:val="ListParagraph"/>
        <w:numPr>
          <w:ilvl w:val="0"/>
          <w:numId w:val="1"/>
        </w:numPr>
        <w:spacing w:after="80"/>
      </w:pPr>
      <w:r>
        <w:t xml:space="preserve">Regulatory compliance versus practical performance — traditional access-control models struggle to keep pace with multi-tenant, constantly changing cloud infrastructure that handles sensitive data.</w:t>
      </w:r>
    </w:p>
    <w:p>
      <w:pPr>
        <w:pStyle w:val="Heading1"/>
        <w:keepNext/>
      </w:pPr>
      <w:r>
        <w:t xml:space="preserve">II. Literature Survey</w:t>
      </w:r>
    </w:p>
    <w:p>
      <w:pPr>
        <w:pStyle w:val="Heading2"/>
        <w:keepNext/>
      </w:pPr>
      <w:r>
        <w:t xml:space="preserve">A. Current State of Research</w:t>
      </w:r>
    </w:p>
    <w:p>
      <w:pPr>
        <w:pStyle w:val="Normal"/>
      </w:pPr>
      <w:r>
        <w:t xml:space="preserve">Hybrid cryptography — pairing AES with RSA or ECC — is now a mature, well-understood approach. Attribute-based encryption (ABE) has become close to the standard answer for fine-grained access control in cloud settings, and blockchain is increasingly explored as a way to decentralise key management and maintain tamper-evident audit trails. Deployments of these ideas have already been reported in healthcare, IoT, and financial contexts [10]–[12].</w:t>
      </w:r>
    </w:p>
    <w:p>
      <w:pPr>
        <w:pStyle w:val="Heading2"/>
        <w:keepNext/>
      </w:pPr>
      <w:r>
        <w:t xml:space="preserve">B. Foundational Literature</w:t>
      </w:r>
    </w:p>
    <w:p>
      <w:pPr>
        <w:pStyle w:val="Normal"/>
      </w:pPr>
      <w:r>
        <w:rPr>
          <w:i/>
        </w:rPr>
        <w:t xml:space="preserve">Table I summarises the foundational works on which this project builds; the critical paragraphs that follow discuss the achievements and drawbacks of each.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00"/>
        <w:gridCol w:w="3860"/>
        <w:gridCol w:w="5000"/>
      </w:tblGrid>
      <w:tr>
        <w:trPr>
          <w:tblHeader/>
        </w:trPr>
        <w:tc>
          <w:tcPr>
            <w:tcW w:w="500" w:type="dxa"/>
            <w:shd w:val="clear" w:fill="1F3864"/>
            <w:vAlign w:val="center"/>
          </w:tcPr>
          <w:p>
            <w:pPr>
              <w:spacing w:before="20" w:after="20"/>
            </w:pPr>
            <w:r>
              <w:rPr>
                <w:b/>
                <w:color w:val="FFFFFF"/>
              </w:rPr>
              <w:t xml:space="preserve">#</w:t>
            </w:r>
          </w:p>
        </w:tc>
        <w:tc>
          <w:tcPr>
            <w:tcW w:w="3860" w:type="dxa"/>
            <w:shd w:val="clear" w:fill="1F3864"/>
            <w:vAlign w:val="center"/>
          </w:tcPr>
          <w:p>
            <w:pPr>
              <w:spacing w:before="20" w:after="20"/>
            </w:pPr>
            <w:r>
              <w:rPr>
                <w:b/>
                <w:color w:val="FFFFFF"/>
              </w:rPr>
              <w:t xml:space="preserve">Work</w:t>
            </w:r>
          </w:p>
        </w:tc>
        <w:tc>
          <w:tcPr>
            <w:tcW w:w="5000" w:type="dxa"/>
            <w:shd w:val="clear" w:fill="1F3864"/>
            <w:vAlign w:val="center"/>
          </w:tcPr>
          <w:p>
            <w:pPr>
              <w:spacing w:before="20" w:after="20"/>
            </w:pPr>
            <w:r>
              <w:rPr>
                <w:b/>
                <w:color w:val="FFFFFF"/>
              </w:rPr>
              <w:t xml:space="preserve">Contribution</w:t>
            </w:r>
          </w:p>
        </w:tc>
      </w:tr>
      <w:tr>
        <w:tc>
          <w:tcPr>
            <w:tcW w:w="500" w:type="dxa"/>
            <w:vAlign w:val="center"/>
          </w:tcPr>
          <w:p>
            <w:pPr>
              <w:spacing w:before="20" w:after="20"/>
            </w:pPr>
            <w:r>
              <w:t xml:space="preserve">1</w:t>
            </w:r>
          </w:p>
        </w:tc>
        <w:tc>
          <w:tcPr>
            <w:tcW w:w="3860" w:type="dxa"/>
            <w:vAlign w:val="center"/>
          </w:tcPr>
          <w:p>
            <w:pPr>
              <w:spacing w:before="20" w:after="20"/>
            </w:pPr>
            <w:r>
              <w:t xml:space="preserve">Sahai &amp; Waters, EUROCRYPT 2005</w:t>
            </w:r>
          </w:p>
        </w:tc>
        <w:tc>
          <w:tcPr>
            <w:tcW w:w="5000" w:type="dxa"/>
            <w:vAlign w:val="center"/>
          </w:tcPr>
          <w:p>
            <w:pPr>
              <w:spacing w:before="20" w:after="20"/>
            </w:pPr>
            <w:r>
              <w:t xml:space="preserve">Fuzzy IBE; the origin point of ABE</w:t>
            </w:r>
          </w:p>
        </w:tc>
      </w:tr>
      <w:tr>
        <w:tc>
          <w:tcPr>
            <w:tcW w:w="500" w:type="dxa"/>
            <w:vAlign w:val="center"/>
          </w:tcPr>
          <w:p>
            <w:pPr>
              <w:spacing w:before="20" w:after="20"/>
            </w:pPr>
            <w:r>
              <w:t xml:space="preserve">2</w:t>
            </w:r>
          </w:p>
        </w:tc>
        <w:tc>
          <w:tcPr>
            <w:tcW w:w="3860" w:type="dxa"/>
            <w:vAlign w:val="center"/>
          </w:tcPr>
          <w:p>
            <w:pPr>
              <w:spacing w:before="20" w:after="20"/>
            </w:pPr>
            <w:r>
              <w:t xml:space="preserve">Goyal et al., CCS 2006</w:t>
            </w:r>
          </w:p>
        </w:tc>
        <w:tc>
          <w:tcPr>
            <w:tcW w:w="5000" w:type="dxa"/>
            <w:vAlign w:val="center"/>
          </w:tcPr>
          <w:p>
            <w:pPr>
              <w:spacing w:before="20" w:after="20"/>
            </w:pPr>
            <w:r>
              <w:t xml:space="preserve">Key-policy ABE (KP-ABE)</w:t>
            </w:r>
          </w:p>
        </w:tc>
      </w:tr>
      <w:tr>
        <w:tc>
          <w:tcPr>
            <w:tcW w:w="500" w:type="dxa"/>
            <w:vAlign w:val="center"/>
          </w:tcPr>
          <w:p>
            <w:pPr>
              <w:spacing w:before="20" w:after="20"/>
            </w:pPr>
            <w:r>
              <w:t xml:space="preserve">3</w:t>
            </w:r>
          </w:p>
        </w:tc>
        <w:tc>
          <w:tcPr>
            <w:tcW w:w="3860" w:type="dxa"/>
            <w:vAlign w:val="center"/>
          </w:tcPr>
          <w:p>
            <w:pPr>
              <w:spacing w:before="20" w:after="20"/>
            </w:pPr>
            <w:r>
              <w:t xml:space="preserve">Bethencourt, Sahai &amp; Waters, IEEE S&amp;P 2007</w:t>
            </w:r>
          </w:p>
        </w:tc>
        <w:tc>
          <w:tcPr>
            <w:tcW w:w="5000" w:type="dxa"/>
            <w:vAlign w:val="center"/>
          </w:tcPr>
          <w:p>
            <w:pPr>
              <w:spacing w:before="20" w:after="20"/>
            </w:pPr>
            <w:r>
              <w:t xml:space="preserve">CP-ABE — the scheme implemented in this project</w:t>
            </w:r>
          </w:p>
        </w:tc>
      </w:tr>
      <w:tr>
        <w:tc>
          <w:tcPr>
            <w:tcW w:w="500" w:type="dxa"/>
            <w:vAlign w:val="center"/>
          </w:tcPr>
          <w:p>
            <w:pPr>
              <w:spacing w:before="20" w:after="20"/>
            </w:pPr>
            <w:r>
              <w:t xml:space="preserve">4</w:t>
            </w:r>
          </w:p>
        </w:tc>
        <w:tc>
          <w:tcPr>
            <w:tcW w:w="3860" w:type="dxa"/>
            <w:vAlign w:val="center"/>
          </w:tcPr>
          <w:p>
            <w:pPr>
              <w:spacing w:before="20" w:after="20"/>
            </w:pPr>
            <w:r>
              <w:t xml:space="preserve">Waters, PKC 2011</w:t>
            </w:r>
          </w:p>
        </w:tc>
        <w:tc>
          <w:tcPr>
            <w:tcW w:w="5000" w:type="dxa"/>
            <w:vAlign w:val="center"/>
          </w:tcPr>
          <w:p>
            <w:pPr>
              <w:spacing w:before="20" w:after="20"/>
            </w:pPr>
            <w:r>
              <w:t xml:space="preserve">LSSS-based CP-ABE in the standard model</w:t>
            </w:r>
          </w:p>
        </w:tc>
      </w:tr>
      <w:tr>
        <w:tc>
          <w:tcPr>
            <w:tcW w:w="500" w:type="dxa"/>
            <w:vAlign w:val="center"/>
          </w:tcPr>
          <w:p>
            <w:pPr>
              <w:spacing w:before="20" w:after="20"/>
            </w:pPr>
            <w:r>
              <w:t xml:space="preserve">5</w:t>
            </w:r>
          </w:p>
        </w:tc>
        <w:tc>
          <w:tcPr>
            <w:tcW w:w="3860" w:type="dxa"/>
            <w:vAlign w:val="center"/>
          </w:tcPr>
          <w:p>
            <w:pPr>
              <w:spacing w:before="20" w:after="20"/>
            </w:pPr>
            <w:r>
              <w:t xml:space="preserve">Lewko &amp; Waters, EUROCRYPT 2011</w:t>
            </w:r>
          </w:p>
        </w:tc>
        <w:tc>
          <w:tcPr>
            <w:tcW w:w="5000" w:type="dxa"/>
            <w:vAlign w:val="center"/>
          </w:tcPr>
          <w:p>
            <w:pPr>
              <w:spacing w:before="20" w:after="20"/>
            </w:pPr>
            <w:r>
              <w:t xml:space="preserve">Multi-authority ABE</w:t>
            </w:r>
          </w:p>
        </w:tc>
      </w:tr>
      <w:tr>
        <w:tc>
          <w:tcPr>
            <w:tcW w:w="500" w:type="dxa"/>
            <w:vAlign w:val="center"/>
          </w:tcPr>
          <w:p>
            <w:pPr>
              <w:spacing w:before="20" w:after="20"/>
            </w:pPr>
            <w:r>
              <w:t xml:space="preserve">6</w:t>
            </w:r>
          </w:p>
        </w:tc>
        <w:tc>
          <w:tcPr>
            <w:tcW w:w="3860" w:type="dxa"/>
            <w:vAlign w:val="center"/>
          </w:tcPr>
          <w:p>
            <w:pPr>
              <w:spacing w:before="20" w:after="20"/>
            </w:pPr>
            <w:r>
              <w:t xml:space="preserve">NIST SP 800-162</w:t>
            </w:r>
          </w:p>
        </w:tc>
        <w:tc>
          <w:tcPr>
            <w:tcW w:w="5000" w:type="dxa"/>
            <w:vAlign w:val="center"/>
          </w:tcPr>
          <w:p>
            <w:pPr>
              <w:spacing w:before="20" w:after="20"/>
            </w:pPr>
            <w:r>
              <w:t xml:space="preserve">Definition of and considerations for ABAC</w:t>
            </w:r>
          </w:p>
        </w:tc>
      </w:tr>
      <w:tr>
        <w:tc>
          <w:tcPr>
            <w:tcW w:w="500" w:type="dxa"/>
            <w:vAlign w:val="center"/>
          </w:tcPr>
          <w:p>
            <w:pPr>
              <w:spacing w:before="20" w:after="20"/>
            </w:pPr>
            <w:r>
              <w:t xml:space="preserve">7</w:t>
            </w:r>
          </w:p>
        </w:tc>
        <w:tc>
          <w:tcPr>
            <w:tcW w:w="3860" w:type="dxa"/>
            <w:vAlign w:val="center"/>
          </w:tcPr>
          <w:p>
            <w:pPr>
              <w:spacing w:before="20" w:after="20"/>
            </w:pPr>
            <w:r>
              <w:t xml:space="preserve">Green et al., USENIX Security 2011</w:t>
            </w:r>
          </w:p>
        </w:tc>
        <w:tc>
          <w:tcPr>
            <w:tcW w:w="5000" w:type="dxa"/>
            <w:vAlign w:val="center"/>
          </w:tcPr>
          <w:p>
            <w:pPr>
              <w:spacing w:before="20" w:after="20"/>
            </w:pPr>
            <w:r>
              <w:t xml:space="preserve">Outsourced decryption of ABE ciphertexts</w:t>
            </w:r>
          </w:p>
        </w:tc>
      </w:tr>
      <w:tr>
        <w:tc>
          <w:tcPr>
            <w:tcW w:w="500" w:type="dxa"/>
            <w:vAlign w:val="center"/>
          </w:tcPr>
          <w:p>
            <w:pPr>
              <w:spacing w:before="20" w:after="20"/>
            </w:pPr>
            <w:r>
              <w:t xml:space="preserve">8</w:t>
            </w:r>
          </w:p>
        </w:tc>
        <w:tc>
          <w:tcPr>
            <w:tcW w:w="3860" w:type="dxa"/>
            <w:vAlign w:val="center"/>
          </w:tcPr>
          <w:p>
            <w:pPr>
              <w:spacing w:before="20" w:after="20"/>
            </w:pPr>
            <w:r>
              <w:t xml:space="preserve">Akinyele et al., JCEN 2013</w:t>
            </w:r>
          </w:p>
        </w:tc>
        <w:tc>
          <w:tcPr>
            <w:tcW w:w="5000" w:type="dxa"/>
            <w:vAlign w:val="center"/>
          </w:tcPr>
          <w:p>
            <w:pPr>
              <w:spacing w:before="20" w:after="20"/>
            </w:pPr>
            <w:r>
              <w:t xml:space="preserve">Charm prototyping framework</w:t>
            </w:r>
          </w:p>
        </w:tc>
      </w:tr>
    </w:tbl>
    <w:p>
      <w:pPr>
        <w:pStyle w:val="Normal"/>
        <w:spacing w:after="0"/>
      </w:pPr>
      <w:r>
        <w:t xml:space="preserve"/>
      </w:r>
    </w:p>
    <w:p>
      <w:pPr>
        <w:pStyle w:val="Normal"/>
      </w:pPr>
      <w:r>
        <w:t xml:space="preserve">Sahai &amp; Waters (Fuzzy IBE, EUROCRYPT 2005) introduced identity-based encryption over sets of attributes, allowing decryption when a threshold number of attributes match. Its achievement was to establish the very idea of attribute-driven decryption, seeding the entire ABE field. Its drawbacks are a rigid threshold-only policy, no support for arbitrary Boolean access structures, and no revocation — limitations that later CP-ABE work had to overcome.</w:t>
      </w:r>
    </w:p>
    <w:p>
      <w:pPr>
        <w:pStyle w:val="Normal"/>
      </w:pPr>
      <w:r>
        <w:t xml:space="preserve">Goyal et al. (KP-ABE, CCS 2006) generalised the model so that access policies are embedded in user keys while ciphertexts carry attribute sets. The achievement is expressive, monotonic access structures for the first time. However, because the policy lives in the key rather than the ciphertext, the data owner cannot decide who may read a file at encryption time, which makes KP-ABE awkward for owner-driven cloud sharing — the exact scenario we target.</w:t>
      </w:r>
    </w:p>
    <w:p>
      <w:pPr>
        <w:pStyle w:val="Normal"/>
      </w:pPr>
      <w:r>
        <w:t xml:space="preserve">Bethencourt, Sahai &amp; Waters (CP-ABE, IEEE S&amp;P 2007) inverted KP-ABE so that the data owner embeds the access policy directly in the ciphertext. Its main achievement is expressive, owner-controlled, fine-grained access without knowing recipients in advance — the model this project implements. Its drawbacks are a security proof only in the generic-group model, decryption cost that grows with policy size, and no built-in revocation, which is precisely the operational gap we address.</w:t>
      </w:r>
    </w:p>
    <w:p>
      <w:pPr>
        <w:pStyle w:val="Normal"/>
      </w:pPr>
      <w:r>
        <w:t xml:space="preserve">Waters (PKC 2011) reconstructed CP-ABE using Linear Secret Sharing Schemes (LSSS) and proved security in the standard model under non-interactive assumptions. The achievement is a firmer theoretical footing and more efficient policy encoding. Its drawback is that it remains single-authority with classical pairing assumptions and still offers no native revocation or post-quantum protection.</w:t>
      </w:r>
    </w:p>
    <w:p>
      <w:pPr>
        <w:pStyle w:val="Normal"/>
      </w:pPr>
      <w:r>
        <w:t xml:space="preserve">Lewko &amp; Waters (Multi-Authority ABE, EUROCRYPT 2011) removed the single-authority bottleneck by letting independent authorities issue attribute keys without central coordination. This improves trust decentralisation and resilience for federated settings such as multi-hospital consortia. However, it adds setup and communication overhead, complicates cross-authority revocation, and assumes classical hardness — motivating both our decentralisation and post-quantum future-work directions.</w:t>
      </w:r>
    </w:p>
    <w:p>
      <w:pPr>
        <w:pStyle w:val="Normal"/>
      </w:pPr>
      <w:r>
        <w:t xml:space="preserve">NIST SP 800-162 defines Attribute-Based Access Control (ABAC), reasoning over subject, object, action, and environment attributes. Its achievement is a rigorous, standardised vocabulary and reference architecture (PDP, PEP, PIP, PAP) that we adopt directly. Its limitation is that ABAC is a policy-enforcement model, not a cryptographic one: if the enforcement layer is bypassed, confidentiality is lost — which is why we pair it with CP-ABE.</w:t>
      </w:r>
    </w:p>
    <w:p>
      <w:pPr>
        <w:pStyle w:val="Normal"/>
      </w:pPr>
      <w:r>
        <w:t xml:space="preserve">Green, Hohenberger &amp; Waters (Outsourced Decryption, USENIX Security 2011) showed how to offload the expensive pairing operations of ABE decryption to an untrusted server using a transformation key, leaving the client only a light final step. The achievement is practical ABE on constrained devices. Drawbacks include the need to verify the correctness of the outsourced result and additional key-management complexity, both of which our design accounts for.</w:t>
      </w:r>
    </w:p>
    <w:p>
      <w:pPr>
        <w:pStyle w:val="Normal"/>
      </w:pPr>
      <w:r>
        <w:t xml:space="preserve">Akinyele et al. (Charm, JCEN 2013) delivered a rapid-prototyping framework for pairing-based cryptography. Its achievement is that schemes such as CP-ABE can be implemented and benchmarked quickly, which is why we adopt it. Its drawback is that Charm is a research tool with build fragility and non-production performance — a risk we front-load and mitigate with Docker and a simulated fallback.</w:t>
      </w:r>
    </w:p>
    <w:p>
      <w:pPr>
        <w:pStyle w:val="Heading2"/>
        <w:keepNext/>
      </w:pPr>
      <w:r>
        <w:t xml:space="preserve">C. Recent Advances (2021–present)</w:t>
      </w:r>
    </w:p>
    <w:p>
      <w:pPr>
        <w:pStyle w:val="Normal"/>
      </w:pPr>
      <w:r>
        <w:rPr>
          <w:i/>
        </w:rPr>
        <w:t xml:space="preserve">To ground the research gap in the current state of the art, we surveyed recent work published from 2021 onward. Table II summarises these; critical paragraphs follow.</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00"/>
        <w:gridCol w:w="5100"/>
        <w:gridCol w:w="3760"/>
      </w:tblGrid>
      <w:tr>
        <w:trPr>
          <w:tblHeader/>
        </w:trPr>
        <w:tc>
          <w:tcPr>
            <w:tcW w:w="500" w:type="dxa"/>
            <w:shd w:val="clear" w:fill="1F3864"/>
            <w:vAlign w:val="center"/>
          </w:tcPr>
          <w:p>
            <w:pPr>
              <w:spacing w:before="20" w:after="20"/>
            </w:pPr>
            <w:r>
              <w:rPr>
                <w:b/>
                <w:color w:val="FFFFFF"/>
              </w:rPr>
              <w:t xml:space="preserve">#</w:t>
            </w:r>
          </w:p>
        </w:tc>
        <w:tc>
          <w:tcPr>
            <w:tcW w:w="5100" w:type="dxa"/>
            <w:shd w:val="clear" w:fill="1F3864"/>
            <w:vAlign w:val="center"/>
          </w:tcPr>
          <w:p>
            <w:pPr>
              <w:spacing w:before="20" w:after="20"/>
            </w:pPr>
            <w:r>
              <w:rPr>
                <w:b/>
                <w:color w:val="FFFFFF"/>
              </w:rPr>
              <w:t xml:space="preserve">Recent Work (year)</w:t>
            </w:r>
          </w:p>
        </w:tc>
        <w:tc>
          <w:tcPr>
            <w:tcW w:w="3760" w:type="dxa"/>
            <w:shd w:val="clear" w:fill="1F3864"/>
            <w:vAlign w:val="center"/>
          </w:tcPr>
          <w:p>
            <w:pPr>
              <w:spacing w:before="20" w:after="20"/>
            </w:pPr>
            <w:r>
              <w:rPr>
                <w:b/>
                <w:color w:val="FFFFFF"/>
              </w:rPr>
              <w:t xml:space="preserve">Focus / Contribution</w:t>
            </w:r>
          </w:p>
        </w:tc>
      </w:tr>
      <w:tr>
        <w:tc>
          <w:tcPr>
            <w:tcW w:w="500" w:type="dxa"/>
            <w:vAlign w:val="center"/>
          </w:tcPr>
          <w:p>
            <w:pPr>
              <w:spacing w:before="20" w:after="20"/>
            </w:pPr>
            <w:r>
              <w:t xml:space="preserve">R1</w:t>
            </w:r>
          </w:p>
        </w:tc>
        <w:tc>
          <w:tcPr>
            <w:tcW w:w="5100" w:type="dxa"/>
            <w:vAlign w:val="center"/>
          </w:tcPr>
          <w:p>
            <w:pPr>
              <w:spacing w:before="20" w:after="20"/>
            </w:pPr>
            <w:r>
              <w:t xml:space="preserve">Flexible revocation in CP-ABE with verifiable ciphertext delegation, 2022 [1]</w:t>
            </w:r>
          </w:p>
        </w:tc>
        <w:tc>
          <w:tcPr>
            <w:tcW w:w="3760" w:type="dxa"/>
            <w:vAlign w:val="center"/>
          </w:tcPr>
          <w:p>
            <w:pPr>
              <w:spacing w:before="20" w:after="20"/>
            </w:pPr>
            <w:r>
              <w:t xml:space="preserve">User-binary-tree revocation</w:t>
            </w:r>
          </w:p>
        </w:tc>
      </w:tr>
      <w:tr>
        <w:tc>
          <w:tcPr>
            <w:tcW w:w="500" w:type="dxa"/>
            <w:vAlign w:val="center"/>
          </w:tcPr>
          <w:p>
            <w:pPr>
              <w:spacing w:before="20" w:after="20"/>
            </w:pPr>
            <w:r>
              <w:t xml:space="preserve">R2</w:t>
            </w:r>
          </w:p>
        </w:tc>
        <w:tc>
          <w:tcPr>
            <w:tcW w:w="5100" w:type="dxa"/>
            <w:vAlign w:val="center"/>
          </w:tcPr>
          <w:p>
            <w:pPr>
              <w:spacing w:before="20" w:after="20"/>
            </w:pPr>
            <w:r>
              <w:t xml:space="preserve">Puncturable CP-ABE for flexible user revocation, 2023 [2]</w:t>
            </w:r>
          </w:p>
        </w:tc>
        <w:tc>
          <w:tcPr>
            <w:tcW w:w="3760" w:type="dxa"/>
            <w:vAlign w:val="center"/>
          </w:tcPr>
          <w:p>
            <w:pPr>
              <w:spacing w:before="20" w:after="20"/>
            </w:pPr>
            <w:r>
              <w:t xml:space="preserve">Puncturable encryption + proxy decryption</w:t>
            </w:r>
          </w:p>
        </w:tc>
      </w:tr>
      <w:tr>
        <w:tc>
          <w:tcPr>
            <w:tcW w:w="500" w:type="dxa"/>
            <w:vAlign w:val="center"/>
          </w:tcPr>
          <w:p>
            <w:pPr>
              <w:spacing w:before="20" w:after="20"/>
            </w:pPr>
            <w:r>
              <w:t xml:space="preserve">R3</w:t>
            </w:r>
          </w:p>
        </w:tc>
        <w:tc>
          <w:tcPr>
            <w:tcW w:w="5100" w:type="dxa"/>
            <w:vAlign w:val="center"/>
          </w:tcPr>
          <w:p>
            <w:pPr>
              <w:spacing w:before="20" w:after="20"/>
            </w:pPr>
            <w:r>
              <w:t xml:space="preserve">Enhanced CP-ABE for user- and attribute-level revocation, 2023 [3]</w:t>
            </w:r>
          </w:p>
        </w:tc>
        <w:tc>
          <w:tcPr>
            <w:tcW w:w="3760" w:type="dxa"/>
            <w:vAlign w:val="center"/>
          </w:tcPr>
          <w:p>
            <w:pPr>
              <w:spacing w:before="20" w:after="20"/>
            </w:pPr>
            <w:r>
              <w:t xml:space="preserve">Cloud revocation framework</w:t>
            </w:r>
          </w:p>
        </w:tc>
      </w:tr>
      <w:tr>
        <w:tc>
          <w:tcPr>
            <w:tcW w:w="500" w:type="dxa"/>
            <w:vAlign w:val="center"/>
          </w:tcPr>
          <w:p>
            <w:pPr>
              <w:spacing w:before="20" w:after="20"/>
            </w:pPr>
            <w:r>
              <w:t xml:space="preserve">R4</w:t>
            </w:r>
          </w:p>
        </w:tc>
        <w:tc>
          <w:tcPr>
            <w:tcW w:w="5100" w:type="dxa"/>
            <w:vAlign w:val="center"/>
          </w:tcPr>
          <w:p>
            <w:pPr>
              <w:spacing w:before="20" w:after="20"/>
            </w:pPr>
            <w:r>
              <w:t xml:space="preserve">Revocable multi-authority ABE for EHR in blockchain (MA-RABE), 2022 [4]</w:t>
            </w:r>
          </w:p>
        </w:tc>
        <w:tc>
          <w:tcPr>
            <w:tcW w:w="3760" w:type="dxa"/>
            <w:vAlign w:val="center"/>
          </w:tcPr>
          <w:p>
            <w:pPr>
              <w:spacing w:before="20" w:after="20"/>
            </w:pPr>
            <w:r>
              <w:t xml:space="preserve">Decentralised authorities + revocation</w:t>
            </w:r>
          </w:p>
        </w:tc>
      </w:tr>
      <w:tr>
        <w:tc>
          <w:tcPr>
            <w:tcW w:w="500" w:type="dxa"/>
            <w:vAlign w:val="center"/>
          </w:tcPr>
          <w:p>
            <w:pPr>
              <w:spacing w:before="20" w:after="20"/>
            </w:pPr>
            <w:r>
              <w:t xml:space="preserve">R5</w:t>
            </w:r>
          </w:p>
        </w:tc>
        <w:tc>
          <w:tcPr>
            <w:tcW w:w="5100" w:type="dxa"/>
            <w:vAlign w:val="center"/>
          </w:tcPr>
          <w:p>
            <w:pPr>
              <w:spacing w:before="20" w:after="20"/>
            </w:pPr>
            <w:r>
              <w:t xml:space="preserve">Blockchain + attribute-based searchable encryption in cloud, 2023 [6]</w:t>
            </w:r>
          </w:p>
        </w:tc>
        <w:tc>
          <w:tcPr>
            <w:tcW w:w="3760" w:type="dxa"/>
            <w:vAlign w:val="center"/>
          </w:tcPr>
          <w:p>
            <w:pPr>
              <w:spacing w:before="20" w:after="20"/>
            </w:pPr>
            <w:r>
              <w:t xml:space="preserve">Encrypted keyword search</w:t>
            </w:r>
          </w:p>
        </w:tc>
      </w:tr>
      <w:tr>
        <w:tc>
          <w:tcPr>
            <w:tcW w:w="500" w:type="dxa"/>
            <w:vAlign w:val="center"/>
          </w:tcPr>
          <w:p>
            <w:pPr>
              <w:spacing w:before="20" w:after="20"/>
            </w:pPr>
            <w:r>
              <w:t xml:space="preserve">R6</w:t>
            </w:r>
          </w:p>
        </w:tc>
        <w:tc>
          <w:tcPr>
            <w:tcW w:w="5100" w:type="dxa"/>
            <w:vAlign w:val="center"/>
          </w:tcPr>
          <w:p>
            <w:pPr>
              <w:spacing w:before="20" w:after="20"/>
            </w:pPr>
            <w:r>
              <w:t xml:space="preserve">Lattice-based ABE for post-quantum security (review), 2024–26 [7]</w:t>
            </w:r>
          </w:p>
        </w:tc>
        <w:tc>
          <w:tcPr>
            <w:tcW w:w="3760" w:type="dxa"/>
            <w:vAlign w:val="center"/>
          </w:tcPr>
          <w:p>
            <w:pPr>
              <w:spacing w:before="20" w:after="20"/>
            </w:pPr>
            <w:r>
              <w:t xml:space="preserve">LWE / Ring-LWE ABE</w:t>
            </w:r>
          </w:p>
        </w:tc>
      </w:tr>
      <w:tr>
        <w:tc>
          <w:tcPr>
            <w:tcW w:w="500" w:type="dxa"/>
            <w:vAlign w:val="center"/>
          </w:tcPr>
          <w:p>
            <w:pPr>
              <w:spacing w:before="20" w:after="20"/>
            </w:pPr>
            <w:r>
              <w:t xml:space="preserve">R7</w:t>
            </w:r>
          </w:p>
        </w:tc>
        <w:tc>
          <w:tcPr>
            <w:tcW w:w="5100" w:type="dxa"/>
            <w:vAlign w:val="center"/>
          </w:tcPr>
          <w:p>
            <w:pPr>
              <w:spacing w:before="20" w:after="20"/>
            </w:pPr>
            <w:r>
              <w:t xml:space="preserve">Blockchain-enabled lattice-based ABSE with instant revocation (BL-ABSE), 2025 [8]</w:t>
            </w:r>
          </w:p>
        </w:tc>
        <w:tc>
          <w:tcPr>
            <w:tcW w:w="3760" w:type="dxa"/>
            <w:vAlign w:val="center"/>
          </w:tcPr>
          <w:p>
            <w:pPr>
              <w:spacing w:before="20" w:after="20"/>
            </w:pPr>
            <w:r>
              <w:t xml:space="preserve">PQ + ABE + search + audit</w:t>
            </w:r>
          </w:p>
        </w:tc>
      </w:tr>
      <w:tr>
        <w:tc>
          <w:tcPr>
            <w:tcW w:w="500" w:type="dxa"/>
            <w:vAlign w:val="center"/>
          </w:tcPr>
          <w:p>
            <w:pPr>
              <w:spacing w:before="20" w:after="20"/>
            </w:pPr>
            <w:r>
              <w:t xml:space="preserve">R8</w:t>
            </w:r>
          </w:p>
        </w:tc>
        <w:tc>
          <w:tcPr>
            <w:tcW w:w="5100" w:type="dxa"/>
            <w:vAlign w:val="center"/>
          </w:tcPr>
          <w:p>
            <w:pPr>
              <w:spacing w:before="20" w:after="20"/>
            </w:pPr>
            <w:r>
              <w:t xml:space="preserve">CRYSTALS-Kyber (ML-KEM) vs RSA/ECC performance, 2025 [9]</w:t>
            </w:r>
          </w:p>
        </w:tc>
        <w:tc>
          <w:tcPr>
            <w:tcW w:w="3760" w:type="dxa"/>
            <w:vAlign w:val="center"/>
          </w:tcPr>
          <w:p>
            <w:pPr>
              <w:spacing w:before="20" w:after="20"/>
            </w:pPr>
            <w:r>
              <w:t xml:space="preserve">Post-quantum KEM benchmarks</w:t>
            </w:r>
          </w:p>
        </w:tc>
      </w:tr>
    </w:tbl>
    <w:p>
      <w:pPr>
        <w:pStyle w:val="Normal"/>
        <w:spacing w:after="0"/>
      </w:pPr>
      <w:r>
        <w:t xml:space="preserve"/>
      </w:r>
    </w:p>
    <w:p>
      <w:pPr>
        <w:pStyle w:val="Normal"/>
      </w:pPr>
      <w:r>
        <w:t xml:space="preserve">Puncturable CP-ABE (Science China Information Sciences, 2023) [2] combines CP-ABE with puncturable encryption and a proxy server to achieve efficient, flexible user revocation with reduced client-side decryption cost. Its achievement is fast revocation without full re-encryption; its drawback is added key-update state and reliance on a semi-trusted proxy. We compare our attribute-versioning-with-lazy-re-wrap approach against this line of work.</w:t>
      </w:r>
    </w:p>
    <w:p>
      <w:pPr>
        <w:pStyle w:val="Normal"/>
      </w:pPr>
      <w:r>
        <w:t xml:space="preserve">The revocable multi-authority scheme MA-RABE (Peer-to-Peer Networking and Applications, 2022) [4] uses blockchain to decentralise authorities and record validation parameters for verifiable outsourced decryption in electronic-health-record sharing. Its achievement is removing the single-authority trust bottleneck with auditability; its drawback is on-chain cost and latency. This directly informs our multi-authority future-work item.</w:t>
      </w:r>
    </w:p>
    <w:p>
      <w:pPr>
        <w:pStyle w:val="Normal"/>
      </w:pPr>
      <w:r>
        <w:t xml:space="preserve">The blockchain-based attribute-based searchable encryption scheme (Journal of Cloud Computing, 2023) [6] stores ciphertext in IPFS and metadata on-chain, enabling secure keyword search with integrity guarantees. Its achievement is search over encrypted data under access control; its drawback is blockchain throughput limits. This anchors our searchable-encryption gap.</w:t>
      </w:r>
    </w:p>
    <w:p>
      <w:pPr>
        <w:pStyle w:val="Normal"/>
      </w:pPr>
      <w:r>
        <w:t xml:space="preserve">Recent post-quantum work — the lattice-based ABE review [7], the BL-ABSE framework [8], and Kyber/ML-KEM performance studies [9] — shows that LWE/Ring-LWE ABE and NIST-standardised ML-KEM (FIPS 203, 2024) are now practical enough to prepare against quantum adversaries. Their achievement is quantum resistance with fine-grained control; their drawback is larger key and ciphertext sizes. This motivates our post-quantum-readiness objective.</w:t>
      </w:r>
    </w:p>
    <w:p>
      <w:pPr>
        <w:pStyle w:val="Heading2"/>
        <w:keepNext/>
      </w:pPr>
      <w:r>
        <w:t xml:space="preserve">D. Identified Research Gaps</w:t>
      </w:r>
    </w:p>
    <w:p>
      <w:pPr>
        <w:pStyle w:val="Normal"/>
      </w:pPr>
      <w:r>
        <w:rPr>
          <w:i/>
        </w:rPr>
        <w:t xml:space="preserve">Table III maps the synthesised research gaps to the recent work that leaves each one open.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400"/>
        <w:gridCol w:w="3400"/>
        <w:gridCol w:w="2900"/>
        <w:gridCol w:w="1200"/>
        <w:gridCol w:w="1460"/>
      </w:tblGrid>
      <w:tr>
        <w:trPr>
          <w:tblHeader/>
        </w:trPr>
        <w:tc>
          <w:tcPr>
            <w:tcW w:w="400" w:type="dxa"/>
            <w:shd w:val="clear" w:fill="1F3864"/>
            <w:vAlign w:val="center"/>
          </w:tcPr>
          <w:p>
            <w:pPr>
              <w:spacing w:before="20" w:after="20"/>
            </w:pPr>
            <w:r>
              <w:rPr>
                <w:b/>
                <w:color w:val="FFFFFF"/>
              </w:rPr>
              <w:t xml:space="preserve">#</w:t>
            </w:r>
          </w:p>
        </w:tc>
        <w:tc>
          <w:tcPr>
            <w:tcW w:w="3400" w:type="dxa"/>
            <w:shd w:val="clear" w:fill="1F3864"/>
            <w:vAlign w:val="center"/>
          </w:tcPr>
          <w:p>
            <w:pPr>
              <w:spacing w:before="20" w:after="20"/>
            </w:pPr>
            <w:r>
              <w:rPr>
                <w:b/>
                <w:color w:val="FFFFFF"/>
              </w:rPr>
              <w:t xml:space="preserve">Research Gap</w:t>
            </w:r>
          </w:p>
        </w:tc>
        <w:tc>
          <w:tcPr>
            <w:tcW w:w="2900" w:type="dxa"/>
            <w:shd w:val="clear" w:fill="1F3864"/>
            <w:vAlign w:val="center"/>
          </w:tcPr>
          <w:p>
            <w:pPr>
              <w:spacing w:before="20" w:after="20"/>
            </w:pPr>
            <w:r>
              <w:rPr>
                <w:b/>
                <w:color w:val="FFFFFF"/>
              </w:rPr>
              <w:t xml:space="preserve">Domain Impact</w:t>
            </w:r>
          </w:p>
        </w:tc>
        <w:tc>
          <w:tcPr>
            <w:tcW w:w="1200" w:type="dxa"/>
            <w:shd w:val="clear" w:fill="1F3864"/>
            <w:vAlign w:val="center"/>
          </w:tcPr>
          <w:p>
            <w:pPr>
              <w:spacing w:before="20" w:after="20"/>
            </w:pPr>
            <w:r>
              <w:rPr>
                <w:b/>
                <w:color w:val="FFFFFF"/>
              </w:rPr>
              <w:t xml:space="preserve">Priority</w:t>
            </w:r>
          </w:p>
        </w:tc>
        <w:tc>
          <w:tcPr>
            <w:tcW w:w="1460" w:type="dxa"/>
            <w:shd w:val="clear" w:fill="1F3864"/>
            <w:vAlign w:val="center"/>
          </w:tcPr>
          <w:p>
            <w:pPr>
              <w:spacing w:before="20" w:after="20"/>
            </w:pPr>
            <w:r>
              <w:rPr>
                <w:b/>
                <w:color w:val="FFFFFF"/>
              </w:rPr>
              <w:t xml:space="preserve">Ref.</w:t>
            </w:r>
          </w:p>
        </w:tc>
      </w:tr>
      <w:tr>
        <w:tc>
          <w:tcPr>
            <w:tcW w:w="400" w:type="dxa"/>
            <w:vAlign w:val="center"/>
          </w:tcPr>
          <w:p>
            <w:pPr>
              <w:spacing w:before="20" w:after="20"/>
            </w:pPr>
            <w:r>
              <w:t xml:space="preserve">1</w:t>
            </w:r>
          </w:p>
        </w:tc>
        <w:tc>
          <w:tcPr>
            <w:tcW w:w="3400" w:type="dxa"/>
            <w:vAlign w:val="center"/>
          </w:tcPr>
          <w:p>
            <w:pPr>
              <w:spacing w:before="20" w:after="20"/>
            </w:pPr>
            <w:r>
              <w:t xml:space="preserve">Real-time revocation and key-update efficiency</w:t>
            </w:r>
          </w:p>
        </w:tc>
        <w:tc>
          <w:tcPr>
            <w:tcW w:w="2900" w:type="dxa"/>
            <w:vAlign w:val="center"/>
          </w:tcPr>
          <w:p>
            <w:pPr>
              <w:spacing w:before="20" w:after="20"/>
            </w:pPr>
            <w:r>
              <w:t xml:space="preserve">Enterprise, healthcare, IoV/IoT</w:t>
            </w:r>
          </w:p>
        </w:tc>
        <w:tc>
          <w:tcPr>
            <w:tcW w:w="1200" w:type="dxa"/>
            <w:vAlign w:val="center"/>
          </w:tcPr>
          <w:p>
            <w:pPr>
              <w:spacing w:before="20" w:after="20"/>
            </w:pPr>
            <w:r>
              <w:t xml:space="preserve">Critical</w:t>
            </w:r>
          </w:p>
        </w:tc>
        <w:tc>
          <w:tcPr>
            <w:tcW w:w="1460" w:type="dxa"/>
            <w:vAlign w:val="center"/>
          </w:tcPr>
          <w:p>
            <w:pPr>
              <w:spacing w:before="20" w:after="20"/>
            </w:pPr>
            <w:r>
              <w:t xml:space="preserve">[1],[2],[3]</w:t>
            </w:r>
          </w:p>
        </w:tc>
      </w:tr>
      <w:tr>
        <w:tc>
          <w:tcPr>
            <w:tcW w:w="400" w:type="dxa"/>
            <w:vAlign w:val="center"/>
          </w:tcPr>
          <w:p>
            <w:pPr>
              <w:spacing w:before="20" w:after="20"/>
            </w:pPr>
            <w:r>
              <w:t xml:space="preserve">2</w:t>
            </w:r>
          </w:p>
        </w:tc>
        <w:tc>
          <w:tcPr>
            <w:tcW w:w="3400" w:type="dxa"/>
            <w:vAlign w:val="center"/>
          </w:tcPr>
          <w:p>
            <w:pPr>
              <w:spacing w:before="20" w:after="20"/>
            </w:pPr>
            <w:r>
              <w:t xml:space="preserve">Scalability of multi-authority ABE</w:t>
            </w:r>
          </w:p>
        </w:tc>
        <w:tc>
          <w:tcPr>
            <w:tcW w:w="2900" w:type="dxa"/>
            <w:vAlign w:val="center"/>
          </w:tcPr>
          <w:p>
            <w:pPr>
              <w:spacing w:before="20" w:after="20"/>
            </w:pPr>
            <w:r>
              <w:t xml:space="preserve">Federated healthcare, consortia</w:t>
            </w:r>
          </w:p>
        </w:tc>
        <w:tc>
          <w:tcPr>
            <w:tcW w:w="1200" w:type="dxa"/>
            <w:vAlign w:val="center"/>
          </w:tcPr>
          <w:p>
            <w:pPr>
              <w:spacing w:before="20" w:after="20"/>
            </w:pPr>
            <w:r>
              <w:t xml:space="preserve">High</w:t>
            </w:r>
          </w:p>
        </w:tc>
        <w:tc>
          <w:tcPr>
            <w:tcW w:w="1460" w:type="dxa"/>
            <w:vAlign w:val="center"/>
          </w:tcPr>
          <w:p>
            <w:pPr>
              <w:spacing w:before="20" w:after="20"/>
            </w:pPr>
            <w:r>
              <w:t xml:space="preserve">[4],[5]</w:t>
            </w:r>
          </w:p>
        </w:tc>
      </w:tr>
      <w:tr>
        <w:tc>
          <w:tcPr>
            <w:tcW w:w="400" w:type="dxa"/>
            <w:vAlign w:val="center"/>
          </w:tcPr>
          <w:p>
            <w:pPr>
              <w:spacing w:before="20" w:after="20"/>
            </w:pPr>
            <w:r>
              <w:t xml:space="preserve">3</w:t>
            </w:r>
          </w:p>
        </w:tc>
        <w:tc>
          <w:tcPr>
            <w:tcW w:w="3400" w:type="dxa"/>
            <w:vAlign w:val="center"/>
          </w:tcPr>
          <w:p>
            <w:pPr>
              <w:spacing w:before="20" w:after="20"/>
            </w:pPr>
            <w:r>
              <w:t xml:space="preserve">Integrating post-quantum hybrid encryption</w:t>
            </w:r>
          </w:p>
        </w:tc>
        <w:tc>
          <w:tcPr>
            <w:tcW w:w="2900" w:type="dxa"/>
            <w:vAlign w:val="center"/>
          </w:tcPr>
          <w:p>
            <w:pPr>
              <w:spacing w:before="20" w:after="20"/>
            </w:pPr>
            <w:r>
              <w:t xml:space="preserve">Long-horizon compliance systems</w:t>
            </w:r>
          </w:p>
        </w:tc>
        <w:tc>
          <w:tcPr>
            <w:tcW w:w="1200" w:type="dxa"/>
            <w:vAlign w:val="center"/>
          </w:tcPr>
          <w:p>
            <w:pPr>
              <w:spacing w:before="20" w:after="20"/>
            </w:pPr>
            <w:r>
              <w:t xml:space="preserve">Critical</w:t>
            </w:r>
          </w:p>
        </w:tc>
        <w:tc>
          <w:tcPr>
            <w:tcW w:w="1460" w:type="dxa"/>
            <w:vAlign w:val="center"/>
          </w:tcPr>
          <w:p>
            <w:pPr>
              <w:spacing w:before="20" w:after="20"/>
            </w:pPr>
            <w:r>
              <w:t xml:space="preserve">[7],[8],[9]</w:t>
            </w:r>
          </w:p>
        </w:tc>
      </w:tr>
      <w:tr>
        <w:tc>
          <w:tcPr>
            <w:tcW w:w="400" w:type="dxa"/>
            <w:vAlign w:val="center"/>
          </w:tcPr>
          <w:p>
            <w:pPr>
              <w:spacing w:before="20" w:after="20"/>
            </w:pPr>
            <w:r>
              <w:t xml:space="preserve">4</w:t>
            </w:r>
          </w:p>
        </w:tc>
        <w:tc>
          <w:tcPr>
            <w:tcW w:w="3400" w:type="dxa"/>
            <w:vAlign w:val="center"/>
          </w:tcPr>
          <w:p>
            <w:pPr>
              <w:spacing w:before="20" w:after="20"/>
            </w:pPr>
            <w:r>
              <w:t xml:space="preserve">Searchable encryption under ABE control</w:t>
            </w:r>
          </w:p>
        </w:tc>
        <w:tc>
          <w:tcPr>
            <w:tcW w:w="2900" w:type="dxa"/>
            <w:vAlign w:val="center"/>
          </w:tcPr>
          <w:p>
            <w:pPr>
              <w:spacing w:before="20" w:after="20"/>
            </w:pPr>
            <w:r>
              <w:t xml:space="preserve">Healthcare and finance search</w:t>
            </w:r>
          </w:p>
        </w:tc>
        <w:tc>
          <w:tcPr>
            <w:tcW w:w="1200" w:type="dxa"/>
            <w:vAlign w:val="center"/>
          </w:tcPr>
          <w:p>
            <w:pPr>
              <w:spacing w:before="20" w:after="20"/>
            </w:pPr>
            <w:r>
              <w:t xml:space="preserve">High</w:t>
            </w:r>
          </w:p>
        </w:tc>
        <w:tc>
          <w:tcPr>
            <w:tcW w:w="1460" w:type="dxa"/>
            <w:vAlign w:val="center"/>
          </w:tcPr>
          <w:p>
            <w:pPr>
              <w:spacing w:before="20" w:after="20"/>
            </w:pPr>
            <w:r>
              <w:t xml:space="preserve">[6],[8]</w:t>
            </w:r>
          </w:p>
        </w:tc>
      </w:tr>
      <w:tr>
        <w:tc>
          <w:tcPr>
            <w:tcW w:w="400" w:type="dxa"/>
            <w:vAlign w:val="center"/>
          </w:tcPr>
          <w:p>
            <w:pPr>
              <w:spacing w:before="20" w:after="20"/>
            </w:pPr>
            <w:r>
              <w:t xml:space="preserve">5</w:t>
            </w:r>
          </w:p>
        </w:tc>
        <w:tc>
          <w:tcPr>
            <w:tcW w:w="3400" w:type="dxa"/>
            <w:vAlign w:val="center"/>
          </w:tcPr>
          <w:p>
            <w:pPr>
              <w:spacing w:before="20" w:after="20"/>
            </w:pPr>
            <w:r>
              <w:t xml:space="preserve">Integrity verification without decryption</w:t>
            </w:r>
          </w:p>
        </w:tc>
        <w:tc>
          <w:tcPr>
            <w:tcW w:w="2900" w:type="dxa"/>
            <w:vAlign w:val="center"/>
          </w:tcPr>
          <w:p>
            <w:pPr>
              <w:spacing w:before="20" w:after="20"/>
            </w:pPr>
            <w:r>
              <w:t xml:space="preserve">Regulated cloud storage</w:t>
            </w:r>
          </w:p>
        </w:tc>
        <w:tc>
          <w:tcPr>
            <w:tcW w:w="1200" w:type="dxa"/>
            <w:vAlign w:val="center"/>
          </w:tcPr>
          <w:p>
            <w:pPr>
              <w:spacing w:before="20" w:after="20"/>
            </w:pPr>
            <w:r>
              <w:t xml:space="preserve">Medium</w:t>
            </w:r>
          </w:p>
        </w:tc>
        <w:tc>
          <w:tcPr>
            <w:tcW w:w="1460" w:type="dxa"/>
            <w:vAlign w:val="center"/>
          </w:tcPr>
          <w:p>
            <w:pPr>
              <w:spacing w:before="20" w:after="20"/>
            </w:pPr>
            <w:r>
              <w:t xml:space="preserve">[11]</w:t>
            </w:r>
          </w:p>
        </w:tc>
      </w:tr>
      <w:tr>
        <w:tc>
          <w:tcPr>
            <w:tcW w:w="400" w:type="dxa"/>
            <w:vAlign w:val="center"/>
          </w:tcPr>
          <w:p>
            <w:pPr>
              <w:spacing w:before="20" w:after="20"/>
            </w:pPr>
            <w:r>
              <w:t xml:space="preserve">6</w:t>
            </w:r>
          </w:p>
        </w:tc>
        <w:tc>
          <w:tcPr>
            <w:tcW w:w="3400" w:type="dxa"/>
            <w:vAlign w:val="center"/>
          </w:tcPr>
          <w:p>
            <w:pPr>
              <w:spacing w:before="20" w:after="20"/>
            </w:pPr>
            <w:r>
              <w:t xml:space="preserve">Secure deduplication under ABE policies</w:t>
            </w:r>
          </w:p>
        </w:tc>
        <w:tc>
          <w:tcPr>
            <w:tcW w:w="2900" w:type="dxa"/>
            <w:vAlign w:val="center"/>
          </w:tcPr>
          <w:p>
            <w:pPr>
              <w:spacing w:before="20" w:after="20"/>
            </w:pPr>
            <w:r>
              <w:t xml:space="preserve">Multi-tenant cloud providers</w:t>
            </w:r>
          </w:p>
        </w:tc>
        <w:tc>
          <w:tcPr>
            <w:tcW w:w="1200" w:type="dxa"/>
            <w:vAlign w:val="center"/>
          </w:tcPr>
          <w:p>
            <w:pPr>
              <w:spacing w:before="20" w:after="20"/>
            </w:pPr>
            <w:r>
              <w:t xml:space="preserve">Medium</w:t>
            </w:r>
          </w:p>
        </w:tc>
        <w:tc>
          <w:tcPr>
            <w:tcW w:w="1460" w:type="dxa"/>
            <w:vAlign w:val="center"/>
          </w:tcPr>
          <w:p>
            <w:pPr>
              <w:spacing w:before="20" w:after="20"/>
            </w:pPr>
            <w:r>
              <w:t xml:space="preserve">[3]</w:t>
            </w:r>
          </w:p>
        </w:tc>
      </w:tr>
    </w:tbl>
    <w:p>
      <w:pPr>
        <w:pStyle w:val="Normal"/>
        <w:spacing w:after="0"/>
      </w:pPr>
      <w:r>
        <w:t xml:space="preserve"/>
      </w:r>
    </w:p>
    <w:p>
      <w:pPr>
        <w:pStyle w:val="Heading2"/>
        <w:keepNext/>
      </w:pPr>
      <w:r>
        <w:t xml:space="preserve">E. Priority Gaps Targeted</w:t>
      </w:r>
    </w:p>
    <w:p>
      <w:pPr>
        <w:pStyle w:val="Normal"/>
      </w:pPr>
      <w:r>
        <w:t xml:space="preserve">From this list, the project focuses on three: (i) real-time revocation and key-update efficiency, the most pressing operational gap; (ii) post-quantum readiness, the highest long-run impact given ten-to-thirty-year compliance horizons; and (iii) searchability alongside access control, a central usability obstacle for systems that are encrypted by default.</w:t>
      </w:r>
    </w:p>
    <w:p>
      <w:pPr>
        <w:pStyle w:val="Heading1"/>
        <w:keepNext/>
      </w:pPr>
      <w:r>
        <w:t xml:space="preserve">III. Objectives</w:t>
      </w:r>
    </w:p>
    <w:p>
      <w:pPr>
        <w:pStyle w:val="Heading2"/>
        <w:keepNext/>
      </w:pPr>
      <w:r>
        <w:t xml:space="preserve">A. Primary Objective</w:t>
      </w:r>
    </w:p>
    <w:p>
      <w:pPr>
        <w:pStyle w:val="Normal"/>
      </w:pPr>
      <w:r>
        <w:t xml:space="preserve">To design, build, and evaluate a privacy-preserving cloud-storage framework in which files are encrypted on the client before upload — using hybrid AES-256-GCM and RSA-OAEP — and in which the ability to decrypt is bound to a user’s attributes through CP-ABE, with NIST SP 800-162 ABAC enforcement layered on top.</w:t>
      </w:r>
    </w:p>
    <w:p>
      <w:pPr>
        <w:pStyle w:val="Heading2"/>
        <w:keepNext/>
      </w:pPr>
      <w:r>
        <w:t xml:space="preserve">B. Specific Objectives</w:t>
      </w:r>
    </w:p>
    <w:p>
      <w:pPr>
        <w:pStyle w:val="ListParagraph"/>
        <w:numPr>
          <w:ilvl w:val="0"/>
          <w:numId w:val="1"/>
        </w:numPr>
        <w:spacing w:after="80"/>
      </w:pPr>
      <w:r>
        <w:t xml:space="preserve">Confidentiality (O1) — encrypt every file with AES-256-GCM so the cloud only ever sees opaque ciphertext.</w:t>
      </w:r>
    </w:p>
    <w:p>
      <w:pPr>
        <w:pStyle w:val="ListParagraph"/>
        <w:numPr>
          <w:ilvl w:val="0"/>
          <w:numId w:val="1"/>
        </w:numPr>
        <w:spacing w:after="80"/>
      </w:pPr>
      <w:r>
        <w:t xml:space="preserve">Cryptographic authorisation (O2) — wrap each file’s data-encryption key (DEK) under a CP-ABE access policy so only users whose attributes satisfy the policy can recover it.</w:t>
      </w:r>
    </w:p>
    <w:p>
      <w:pPr>
        <w:pStyle w:val="ListParagraph"/>
        <w:numPr>
          <w:ilvl w:val="0"/>
          <w:numId w:val="1"/>
        </w:numPr>
        <w:spacing w:after="80"/>
      </w:pPr>
      <w:r>
        <w:t xml:space="preserve">Context-aware enforcement (O3) — add an ABAC policy-decision and enforcement layer that reasons over subject, object, action, and environment attributes.</w:t>
      </w:r>
    </w:p>
    <w:p>
      <w:pPr>
        <w:pStyle w:val="ListParagraph"/>
        <w:numPr>
          <w:ilvl w:val="0"/>
          <w:numId w:val="1"/>
        </w:numPr>
        <w:spacing w:after="80"/>
      </w:pPr>
      <w:r>
        <w:t xml:space="preserve">Efficient revocation (O4) — use attribute and key versioning with lazy re-wrapping so revoking a user never requires re-encrypting the underlying files.</w:t>
      </w:r>
    </w:p>
    <w:p>
      <w:pPr>
        <w:pStyle w:val="ListParagraph"/>
        <w:numPr>
          <w:ilvl w:val="0"/>
          <w:numId w:val="1"/>
        </w:numPr>
        <w:spacing w:after="80"/>
      </w:pPr>
      <w:r>
        <w:t xml:space="preserve">Integrity and authenticity (O5) — guarantee tamper detection through the GCM tag and SHA-256, and non-repudiation through RSA-PSS signatures.</w:t>
      </w:r>
    </w:p>
    <w:p>
      <w:pPr>
        <w:pStyle w:val="ListParagraph"/>
        <w:numPr>
          <w:ilvl w:val="0"/>
          <w:numId w:val="1"/>
        </w:numPr>
        <w:spacing w:after="80"/>
      </w:pPr>
      <w:r>
        <w:t xml:space="preserve">Evaluation (O6) — benchmark encryption, key-wrapping, and end-to-end latency as file size and policy complexity vary.</w:t>
      </w:r>
    </w:p>
    <w:p>
      <w:pPr>
        <w:pStyle w:val="ListParagraph"/>
        <w:numPr>
          <w:ilvl w:val="0"/>
          <w:numId w:val="1"/>
        </w:numPr>
        <w:spacing w:after="80"/>
      </w:pPr>
      <w:r>
        <w:t xml:space="preserve">Publishable contribution (O7) — produce at least one measurable contribution — the three-tier key-wrapping model and its revocation cost model — that advances the real-time-revocation gap identified in Section II.</w:t>
      </w:r>
    </w:p>
    <w:p>
      <w:pPr>
        <w:pStyle w:val="Heading1"/>
        <w:keepNext/>
      </w:pPr>
      <w:r>
        <w:t xml:space="preserve">IV. Scope</w:t>
      </w:r>
    </w:p>
    <w:p>
      <w:pPr>
        <w:pStyle w:val="Heading2"/>
        <w:keepNext/>
      </w:pPr>
      <w:r>
        <w:t xml:space="preserve">A. In Scope</w:t>
      </w:r>
    </w:p>
    <w:p>
      <w:pPr>
        <w:pStyle w:val="ListParagraph"/>
        <w:numPr>
          <w:ilvl w:val="0"/>
          <w:numId w:val="1"/>
        </w:numPr>
        <w:spacing w:after="80"/>
      </w:pPr>
      <w:r>
        <w:t xml:space="preserve">Hybrid AES-256-GCM + RSA-OAEP encryption to protect files and their encryption keys.</w:t>
      </w:r>
    </w:p>
    <w:p>
      <w:pPr>
        <w:pStyle w:val="ListParagraph"/>
        <w:numPr>
          <w:ilvl w:val="0"/>
          <w:numId w:val="1"/>
        </w:numPr>
        <w:spacing w:after="80"/>
      </w:pPr>
      <w:r>
        <w:t xml:space="preserve">CP-ABE (the BSW07 construction) implemented via Charm-Crypto for attribute-based key wrapping.</w:t>
      </w:r>
    </w:p>
    <w:p>
      <w:pPr>
        <w:pStyle w:val="ListParagraph"/>
        <w:numPr>
          <w:ilvl w:val="0"/>
          <w:numId w:val="1"/>
        </w:numPr>
        <w:spacing w:after="80"/>
      </w:pPr>
      <w:r>
        <w:t xml:space="preserve">An ABAC policy engine — PDP, PEP, PIP, and PAP — built in Flask.</w:t>
      </w:r>
    </w:p>
    <w:p>
      <w:pPr>
        <w:pStyle w:val="ListParagraph"/>
        <w:numPr>
          <w:ilvl w:val="0"/>
          <w:numId w:val="1"/>
        </w:numPr>
        <w:spacing w:after="80"/>
      </w:pPr>
      <w:r>
        <w:t xml:space="preserve">MongoDB for metadata, with AWS S3 or Azure Blob as the object store.</w:t>
      </w:r>
    </w:p>
    <w:p>
      <w:pPr>
        <w:pStyle w:val="ListParagraph"/>
        <w:numPr>
          <w:ilvl w:val="0"/>
          <w:numId w:val="1"/>
        </w:numPr>
        <w:spacing w:after="80"/>
      </w:pPr>
      <w:r>
        <w:t xml:space="preserve">Attribute-versioning-based revocation with an audit log.</w:t>
      </w:r>
    </w:p>
    <w:p>
      <w:pPr>
        <w:pStyle w:val="ListParagraph"/>
        <w:numPr>
          <w:ilvl w:val="0"/>
          <w:numId w:val="1"/>
        </w:numPr>
        <w:spacing w:after="80"/>
      </w:pPr>
      <w:r>
        <w:t xml:space="preserve">A working healthcare-records use case plus a performance-evaluation suite.</w:t>
      </w:r>
    </w:p>
    <w:p>
      <w:pPr>
        <w:pStyle w:val="Heading2"/>
        <w:keepNext/>
      </w:pPr>
      <w:r>
        <w:t xml:space="preserve">B. Out of Scope</w:t>
      </w:r>
    </w:p>
    <w:p>
      <w:pPr>
        <w:pStyle w:val="ListParagraph"/>
        <w:numPr>
          <w:ilvl w:val="0"/>
          <w:numId w:val="1"/>
        </w:numPr>
        <w:spacing w:after="80"/>
      </w:pPr>
      <w:r>
        <w:t xml:space="preserve">Full production-scale multi-authority ABE (future work).</w:t>
      </w:r>
    </w:p>
    <w:p>
      <w:pPr>
        <w:pStyle w:val="ListParagraph"/>
        <w:numPr>
          <w:ilvl w:val="0"/>
          <w:numId w:val="1"/>
        </w:numPr>
        <w:spacing w:after="80"/>
      </w:pPr>
      <w:r>
        <w:t xml:space="preserve">A complete post-quantum lattice-based ABE implementation (discussed, optionally prototyped in limited form).</w:t>
      </w:r>
    </w:p>
    <w:p>
      <w:pPr>
        <w:pStyle w:val="ListParagraph"/>
        <w:numPr>
          <w:ilvl w:val="0"/>
          <w:numId w:val="1"/>
        </w:numPr>
        <w:spacing w:after="80"/>
      </w:pPr>
      <w:r>
        <w:t xml:space="preserve">Encrypted keyword search at multi-terabyte scale (future work).</w:t>
      </w:r>
    </w:p>
    <w:p>
      <w:pPr>
        <w:pStyle w:val="ListParagraph"/>
        <w:numPr>
          <w:ilvl w:val="0"/>
          <w:numId w:val="1"/>
        </w:numPr>
        <w:spacing w:after="80"/>
      </w:pPr>
      <w:r>
        <w:t xml:space="preserve">A production-grade UI — the frontend is a functional, minimal client rather than a polished product.</w:t>
      </w:r>
    </w:p>
    <w:p>
      <w:pPr>
        <w:pStyle w:val="Heading2"/>
        <w:keepNext/>
      </w:pPr>
      <w:r>
        <w:t xml:space="preserve">C. Product-Development Scope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00"/>
        <w:gridCol w:w="5560"/>
        <w:gridCol w:w="2000"/>
      </w:tblGrid>
      <w:tr>
        <w:trPr>
          <w:tblHeader/>
        </w:trPr>
        <w:tc>
          <w:tcPr>
            <w:tcW w:w="1800" w:type="dxa"/>
            <w:shd w:val="clear" w:fill="1F3864"/>
            <w:vAlign w:val="center"/>
          </w:tcPr>
          <w:p>
            <w:pPr>
              <w:spacing w:before="20" w:after="20"/>
            </w:pPr>
            <w:r>
              <w:rPr>
                <w:b/>
                <w:color w:val="FFFFFF"/>
              </w:rPr>
              <w:t xml:space="preserve">Layer</w:t>
            </w:r>
          </w:p>
        </w:tc>
        <w:tc>
          <w:tcPr>
            <w:tcW w:w="5560" w:type="dxa"/>
            <w:shd w:val="clear" w:fill="1F3864"/>
            <w:vAlign w:val="center"/>
          </w:tcPr>
          <w:p>
            <w:pPr>
              <w:spacing w:before="20" w:after="20"/>
            </w:pPr>
            <w:r>
              <w:rPr>
                <w:b/>
                <w:color w:val="FFFFFF"/>
              </w:rPr>
              <w:t xml:space="preserve">Deliverable</w:t>
            </w:r>
          </w:p>
        </w:tc>
        <w:tc>
          <w:tcPr>
            <w:tcW w:w="2000" w:type="dxa"/>
            <w:shd w:val="clear" w:fill="1F3864"/>
            <w:vAlign w:val="center"/>
          </w:tcPr>
          <w:p>
            <w:pPr>
              <w:spacing w:before="20" w:after="20"/>
            </w:pPr>
            <w:r>
              <w:rPr>
                <w:b/>
                <w:color w:val="FFFFFF"/>
              </w:rPr>
              <w:t xml:space="preserve">Maturity</w:t>
            </w:r>
          </w:p>
        </w:tc>
      </w:tr>
      <w:tr>
        <w:tc>
          <w:tcPr>
            <w:tcW w:w="1800" w:type="dxa"/>
            <w:vAlign w:val="center"/>
          </w:tcPr>
          <w:p>
            <w:pPr>
              <w:spacing w:before="20" w:after="20"/>
            </w:pPr>
            <w:r>
              <w:t xml:space="preserve">Crypto core</w:t>
            </w:r>
          </w:p>
        </w:tc>
        <w:tc>
          <w:tcPr>
            <w:tcW w:w="5560" w:type="dxa"/>
            <w:vAlign w:val="center"/>
          </w:tcPr>
          <w:p>
            <w:pPr>
              <w:spacing w:before="20" w:after="20"/>
            </w:pPr>
            <w:r>
              <w:t xml:space="preserve">AES/RSA/CP-ABE hybrid module with tests</w:t>
            </w:r>
          </w:p>
        </w:tc>
        <w:tc>
          <w:tcPr>
            <w:tcW w:w="2000" w:type="dxa"/>
            <w:vAlign w:val="center"/>
          </w:tcPr>
          <w:p>
            <w:pPr>
              <w:spacing w:before="20" w:after="20"/>
            </w:pPr>
            <w:r>
              <w:t xml:space="preserve">Fully working</w:t>
            </w:r>
          </w:p>
        </w:tc>
      </w:tr>
      <w:tr>
        <w:tc>
          <w:tcPr>
            <w:tcW w:w="1800" w:type="dxa"/>
            <w:vAlign w:val="center"/>
          </w:tcPr>
          <w:p>
            <w:pPr>
              <w:spacing w:before="20" w:after="20"/>
            </w:pPr>
            <w:r>
              <w:t xml:space="preserve">Backend</w:t>
            </w:r>
          </w:p>
        </w:tc>
        <w:tc>
          <w:tcPr>
            <w:tcW w:w="5560" w:type="dxa"/>
            <w:vAlign w:val="center"/>
          </w:tcPr>
          <w:p>
            <w:pPr>
              <w:spacing w:before="20" w:after="20"/>
            </w:pPr>
            <w:r>
              <w:t xml:space="preserve">Flask REST API with JWT and ABAC PDP</w:t>
            </w:r>
          </w:p>
        </w:tc>
        <w:tc>
          <w:tcPr>
            <w:tcW w:w="2000" w:type="dxa"/>
            <w:vAlign w:val="center"/>
          </w:tcPr>
          <w:p>
            <w:pPr>
              <w:spacing w:before="20" w:after="20"/>
            </w:pPr>
            <w:r>
              <w:t xml:space="preserve">Fully working</w:t>
            </w:r>
          </w:p>
        </w:tc>
      </w:tr>
      <w:tr>
        <w:tc>
          <w:tcPr>
            <w:tcW w:w="1800" w:type="dxa"/>
            <w:vAlign w:val="center"/>
          </w:tcPr>
          <w:p>
            <w:pPr>
              <w:spacing w:before="20" w:after="20"/>
            </w:pPr>
            <w:r>
              <w:t xml:space="preserve">Storage</w:t>
            </w:r>
          </w:p>
        </w:tc>
        <w:tc>
          <w:tcPr>
            <w:tcW w:w="5560" w:type="dxa"/>
            <w:vAlign w:val="center"/>
          </w:tcPr>
          <w:p>
            <w:pPr>
              <w:spacing w:before="20" w:after="20"/>
            </w:pPr>
            <w:r>
              <w:t xml:space="preserve">S3/Azure adapter with MongoDB metadata</w:t>
            </w:r>
          </w:p>
        </w:tc>
        <w:tc>
          <w:tcPr>
            <w:tcW w:w="2000" w:type="dxa"/>
            <w:vAlign w:val="center"/>
          </w:tcPr>
          <w:p>
            <w:pPr>
              <w:spacing w:before="20" w:after="20"/>
            </w:pPr>
            <w:r>
              <w:t xml:space="preserve">Fully working</w:t>
            </w:r>
          </w:p>
        </w:tc>
      </w:tr>
      <w:tr>
        <w:tc>
          <w:tcPr>
            <w:tcW w:w="1800" w:type="dxa"/>
            <w:vAlign w:val="center"/>
          </w:tcPr>
          <w:p>
            <w:pPr>
              <w:spacing w:before="20" w:after="20"/>
            </w:pPr>
            <w:r>
              <w:t xml:space="preserve">Revocation</w:t>
            </w:r>
          </w:p>
        </w:tc>
        <w:tc>
          <w:tcPr>
            <w:tcW w:w="5560" w:type="dxa"/>
            <w:vAlign w:val="center"/>
          </w:tcPr>
          <w:p>
            <w:pPr>
              <w:spacing w:before="20" w:after="20"/>
            </w:pPr>
            <w:r>
              <w:t xml:space="preserve">Attribute versioning and lazy re-wrap</w:t>
            </w:r>
          </w:p>
        </w:tc>
        <w:tc>
          <w:tcPr>
            <w:tcW w:w="2000" w:type="dxa"/>
            <w:vAlign w:val="center"/>
          </w:tcPr>
          <w:p>
            <w:pPr>
              <w:spacing w:before="20" w:after="20"/>
            </w:pPr>
            <w:r>
              <w:t xml:space="preserve">Prototype</w:t>
            </w:r>
          </w:p>
        </w:tc>
      </w:tr>
      <w:tr>
        <w:tc>
          <w:tcPr>
            <w:tcW w:w="1800" w:type="dxa"/>
            <w:vAlign w:val="center"/>
          </w:tcPr>
          <w:p>
            <w:pPr>
              <w:spacing w:before="20" w:after="20"/>
            </w:pPr>
            <w:r>
              <w:t xml:space="preserve">Frontend</w:t>
            </w:r>
          </w:p>
        </w:tc>
        <w:tc>
          <w:tcPr>
            <w:tcW w:w="5560" w:type="dxa"/>
            <w:vAlign w:val="center"/>
          </w:tcPr>
          <w:p>
            <w:pPr>
              <w:spacing w:before="20" w:after="20"/>
            </w:pPr>
            <w:r>
              <w:t xml:space="preserve">Upload / download / share / policy UI</w:t>
            </w:r>
          </w:p>
        </w:tc>
        <w:tc>
          <w:tcPr>
            <w:tcW w:w="2000" w:type="dxa"/>
            <w:vAlign w:val="center"/>
          </w:tcPr>
          <w:p>
            <w:pPr>
              <w:spacing w:before="20" w:after="20"/>
            </w:pPr>
            <w:r>
              <w:t xml:space="preserve">Demo-level</w:t>
            </w:r>
          </w:p>
        </w:tc>
      </w:tr>
      <w:tr>
        <w:tc>
          <w:tcPr>
            <w:tcW w:w="1800" w:type="dxa"/>
            <w:vAlign w:val="center"/>
          </w:tcPr>
          <w:p>
            <w:pPr>
              <w:spacing w:before="20" w:after="20"/>
            </w:pPr>
            <w:r>
              <w:t xml:space="preserve">Evaluation</w:t>
            </w:r>
          </w:p>
        </w:tc>
        <w:tc>
          <w:tcPr>
            <w:tcW w:w="5560" w:type="dxa"/>
            <w:vAlign w:val="center"/>
          </w:tcPr>
          <w:p>
            <w:pPr>
              <w:spacing w:before="20" w:after="20"/>
            </w:pPr>
            <w:r>
              <w:t xml:space="preserve">Benchmark scripts and graphs</w:t>
            </w:r>
          </w:p>
        </w:tc>
        <w:tc>
          <w:tcPr>
            <w:tcW w:w="2000" w:type="dxa"/>
            <w:vAlign w:val="center"/>
          </w:tcPr>
          <w:p>
            <w:pPr>
              <w:spacing w:before="20" w:after="20"/>
            </w:pPr>
            <w:r>
              <w:t xml:space="preserve">Fully working</w:t>
            </w:r>
          </w:p>
        </w:tc>
      </w:tr>
    </w:tbl>
    <w:p>
      <w:pPr>
        <w:pStyle w:val="Normal"/>
        <w:spacing w:after="0"/>
      </w:pPr>
      <w:r>
        <w:t xml:space="preserve"/>
      </w:r>
    </w:p>
    <w:p>
      <w:pPr>
        <w:pStyle w:val="Heading1"/>
        <w:keepNext/>
      </w:pPr>
      <w:r>
        <w:t xml:space="preserve">V. Novelty</w:t>
      </w:r>
    </w:p>
    <w:p>
      <w:pPr>
        <w:pStyle w:val="Heading2"/>
        <w:keepNext/>
      </w:pPr>
      <w:r>
        <w:t xml:space="preserve">A. Beyond a Re-Implementation</w:t>
      </w:r>
    </w:p>
    <w:p>
      <w:pPr>
        <w:pStyle w:val="ListParagraph"/>
        <w:numPr>
          <w:ilvl w:val="0"/>
          <w:numId w:val="1"/>
        </w:numPr>
        <w:spacing w:after="80"/>
      </w:pPr>
      <w:r>
        <w:t xml:space="preserve">Three-tier key wrapping: AES → CP-ABE → per-user RSA, giving both attribute-based authorisation and device-level binding, with a security argument for the extra layer.</w:t>
      </w:r>
    </w:p>
    <w:p>
      <w:pPr>
        <w:pStyle w:val="ListParagraph"/>
        <w:numPr>
          <w:ilvl w:val="0"/>
          <w:numId w:val="1"/>
        </w:numPr>
        <w:spacing w:after="80"/>
      </w:pPr>
      <w:r>
        <w:t xml:space="preserve">Efficient revocation: attribute versioning with lazy re-encryption, backed by a measured cost model, aimed at the most critical gap in the literature.</w:t>
      </w:r>
    </w:p>
    <w:p>
      <w:pPr>
        <w:pStyle w:val="ListParagraph"/>
        <w:numPr>
          <w:ilvl w:val="0"/>
          <w:numId w:val="1"/>
        </w:numPr>
        <w:spacing w:after="80"/>
      </w:pPr>
      <w:r>
        <w:t xml:space="preserve">A defence-in-depth trust model: ABAC enforces revocation instantly at the access layer but relies on that layer being trusted; CP-ABE enforces revocation cryptographically (it cannot be bypassed even by the server) but is computationally expensive. We combine the two so ABAC handles the common fast path while CP-ABE guarantees confidentiality if the enforcement layer is compromised.</w:t>
      </w:r>
    </w:p>
    <w:p>
      <w:pPr>
        <w:pStyle w:val="ListParagraph"/>
        <w:numPr>
          <w:ilvl w:val="0"/>
          <w:numId w:val="1"/>
        </w:numPr>
        <w:spacing w:after="80"/>
      </w:pPr>
      <w:r>
        <w:t xml:space="preserve">Outsourced decryption: moving the heavy pairing computations to the server via a transformation key, leaving the client only a light final step [7 (Green et al.)].</w:t>
      </w:r>
    </w:p>
    <w:p>
      <w:pPr>
        <w:pStyle w:val="ListParagraph"/>
        <w:numPr>
          <w:ilvl w:val="0"/>
          <w:numId w:val="1"/>
        </w:numPr>
        <w:spacing w:after="80"/>
      </w:pPr>
      <w:r>
        <w:t xml:space="preserve">Post-quantum readiness: evaluating ML-KEM (Kyber) and lattice-based ABE alongside RSA to prepare the system against future quantum threats.</w:t>
      </w:r>
    </w:p>
    <w:p>
      <w:pPr>
        <w:pStyle w:val="Heading2"/>
        <w:keepNext/>
      </w:pPr>
      <w:r>
        <w:t xml:space="preserve">B. Multidisciplinary Aspects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6360"/>
      </w:tblGrid>
      <w:tr>
        <w:trPr>
          <w:tblHeader/>
        </w:trPr>
        <w:tc>
          <w:tcPr>
            <w:tcW w:w="3000" w:type="dxa"/>
            <w:shd w:val="clear" w:fill="1F3864"/>
            <w:vAlign w:val="center"/>
          </w:tcPr>
          <w:p>
            <w:pPr>
              <w:spacing w:before="20" w:after="20"/>
            </w:pPr>
            <w:r>
              <w:rPr>
                <w:b/>
                <w:color w:val="FFFFFF"/>
              </w:rPr>
              <w:t xml:space="preserve">Discipline</w:t>
            </w:r>
          </w:p>
        </w:tc>
        <w:tc>
          <w:tcPr>
            <w:tcW w:w="6360" w:type="dxa"/>
            <w:shd w:val="clear" w:fill="1F3864"/>
            <w:vAlign w:val="center"/>
          </w:tcPr>
          <w:p>
            <w:pPr>
              <w:spacing w:before="20" w:after="20"/>
            </w:pPr>
            <w:r>
              <w:rPr>
                <w:b/>
                <w:color w:val="FFFFFF"/>
              </w:rPr>
              <w:t xml:space="preserve">Contribution</w:t>
            </w:r>
          </w:p>
        </w:tc>
      </w:tr>
      <w:tr>
        <w:tc>
          <w:tcPr>
            <w:tcW w:w="3000" w:type="dxa"/>
            <w:vAlign w:val="center"/>
          </w:tcPr>
          <w:p>
            <w:pPr>
              <w:spacing w:before="20" w:after="20"/>
            </w:pPr>
            <w:r>
              <w:t xml:space="preserve">Cryptography / Mathematics</w:t>
            </w:r>
          </w:p>
        </w:tc>
        <w:tc>
          <w:tcPr>
            <w:tcW w:w="6360" w:type="dxa"/>
            <w:vAlign w:val="center"/>
          </w:tcPr>
          <w:p>
            <w:pPr>
              <w:spacing w:before="20" w:after="20"/>
            </w:pPr>
            <w:r>
              <w:t xml:space="preserve">Bilinear pairings, secret sharing (LSSS/Shamir), DBDH-based security proofs</w:t>
            </w:r>
          </w:p>
        </w:tc>
      </w:tr>
      <w:tr>
        <w:tc>
          <w:tcPr>
            <w:tcW w:w="3000" w:type="dxa"/>
            <w:vAlign w:val="center"/>
          </w:tcPr>
          <w:p>
            <w:pPr>
              <w:spacing w:before="20" w:after="20"/>
            </w:pPr>
            <w:r>
              <w:t xml:space="preserve">Software / Systems Engineering</w:t>
            </w:r>
          </w:p>
        </w:tc>
        <w:tc>
          <w:tcPr>
            <w:tcW w:w="6360" w:type="dxa"/>
            <w:vAlign w:val="center"/>
          </w:tcPr>
          <w:p>
            <w:pPr>
              <w:spacing w:before="20" w:after="20"/>
            </w:pPr>
            <w:r>
              <w:t xml:space="preserve">Flask API, MongoDB, cloud SDKs, Docker, testing</w:t>
            </w:r>
          </w:p>
        </w:tc>
      </w:tr>
      <w:tr>
        <w:tc>
          <w:tcPr>
            <w:tcW w:w="3000" w:type="dxa"/>
            <w:vAlign w:val="center"/>
          </w:tcPr>
          <w:p>
            <w:pPr>
              <w:spacing w:before="20" w:after="20"/>
            </w:pPr>
            <w:r>
              <w:t xml:space="preserve">Cloud / Distributed Systems</w:t>
            </w:r>
          </w:p>
        </w:tc>
        <w:tc>
          <w:tcPr>
            <w:tcW w:w="6360" w:type="dxa"/>
            <w:vAlign w:val="center"/>
          </w:tcPr>
          <w:p>
            <w:pPr>
              <w:spacing w:before="20" w:after="20"/>
            </w:pPr>
            <w:r>
              <w:t xml:space="preserve">Object storage, presigned URLs, key vaults, scalability</w:t>
            </w:r>
          </w:p>
        </w:tc>
      </w:tr>
      <w:tr>
        <w:tc>
          <w:tcPr>
            <w:tcW w:w="3000" w:type="dxa"/>
            <w:vAlign w:val="center"/>
          </w:tcPr>
          <w:p>
            <w:pPr>
              <w:spacing w:before="20" w:after="20"/>
            </w:pPr>
            <w:r>
              <w:t xml:space="preserve">Cybersecurity / Access Control</w:t>
            </w:r>
          </w:p>
        </w:tc>
        <w:tc>
          <w:tcPr>
            <w:tcW w:w="6360" w:type="dxa"/>
            <w:vAlign w:val="center"/>
          </w:tcPr>
          <w:p>
            <w:pPr>
              <w:spacing w:before="20" w:after="20"/>
            </w:pPr>
            <w:r>
              <w:t xml:space="preserve">ABAC (NIST SP 800-162), threat modelling, defence-in-depth</w:t>
            </w:r>
          </w:p>
        </w:tc>
      </w:tr>
      <w:tr>
        <w:tc>
          <w:tcPr>
            <w:tcW w:w="3000" w:type="dxa"/>
            <w:vAlign w:val="center"/>
          </w:tcPr>
          <w:p>
            <w:pPr>
              <w:spacing w:before="20" w:after="20"/>
            </w:pPr>
            <w:r>
              <w:t xml:space="preserve">Performance Engineering</w:t>
            </w:r>
          </w:p>
        </w:tc>
        <w:tc>
          <w:tcPr>
            <w:tcW w:w="6360" w:type="dxa"/>
            <w:vAlign w:val="center"/>
          </w:tcPr>
          <w:p>
            <w:pPr>
              <w:spacing w:before="20" w:after="20"/>
            </w:pPr>
            <w:r>
              <w:t xml:space="preserve">Benchmarking methodology and statistical evaluation</w:t>
            </w:r>
          </w:p>
        </w:tc>
      </w:tr>
    </w:tbl>
    <w:p>
      <w:pPr>
        <w:pStyle w:val="Normal"/>
        <w:spacing w:after="0"/>
      </w:pPr>
      <w:r>
        <w:t xml:space="preserve"/>
      </w:r>
    </w:p>
    <w:p>
      <w:pPr>
        <w:pStyle w:val="Heading2"/>
        <w:keepNext/>
      </w:pPr>
      <w:r>
        <w:t xml:space="preserve">C. Transdisciplinary Aspects</w:t>
      </w:r>
    </w:p>
    <w:p>
      <w:pPr>
        <w:pStyle w:val="ListParagraph"/>
        <w:numPr>
          <w:ilvl w:val="0"/>
          <w:numId w:val="1"/>
        </w:numPr>
        <w:spacing w:after="80"/>
      </w:pPr>
      <w:r>
        <w:t xml:space="preserve">Healthcare and regulation (HIPAA, GDPR, India’s DPDP Act): constraints such as role, department, clearance, and time of day are encoded directly into the cryptographic policy rather than left as a separate compliance layer.</w:t>
      </w:r>
    </w:p>
    <w:p>
      <w:pPr>
        <w:pStyle w:val="ListParagraph"/>
        <w:numPr>
          <w:ilvl w:val="0"/>
          <w:numId w:val="1"/>
        </w:numPr>
        <w:spacing w:after="80"/>
      </w:pPr>
      <w:r>
        <w:t xml:space="preserve">Law and compliance: non-repudiation, tamper-evident audit trails, and revocation map onto legal accountability requirements.</w:t>
      </w:r>
    </w:p>
    <w:p>
      <w:pPr>
        <w:pStyle w:val="ListParagraph"/>
        <w:numPr>
          <w:ilvl w:val="0"/>
          <w:numId w:val="1"/>
        </w:numPr>
        <w:spacing w:after="80"/>
      </w:pPr>
      <w:r>
        <w:t xml:space="preserve">Public policy, e-governance, and finance: the framework generalises to citizen records and financial documents wherever decentralised trust matters.</w:t>
      </w:r>
    </w:p>
    <w:p>
      <w:pPr>
        <w:pStyle w:val="ListParagraph"/>
        <w:numPr>
          <w:ilvl w:val="0"/>
          <w:numId w:val="1"/>
        </w:numPr>
        <w:spacing w:after="80"/>
      </w:pPr>
      <w:r>
        <w:t xml:space="preserve">Human factors: policy-builder usability and key-custody decisions sit at the intersection of security engineering and usability.</w:t>
      </w:r>
    </w:p>
    <w:p>
      <w:pPr>
        <w:pStyle w:val="Heading1"/>
        <w:keepNext/>
      </w:pPr>
      <w:r>
        <w:t xml:space="preserve">VI. Proposed System Architecture</w:t>
      </w:r>
    </w:p>
    <w:p>
      <w:pPr>
        <w:pStyle w:val="Normal"/>
      </w:pPr>
      <w:r>
        <w:t xml:space="preserve">The framework follows a client-centric, zero-trust design: all encryption and final decryption happen on the client, and the cloud never sees plaintext or unwrapped keys. Figure 1 shows the five logical components and their interactions; Figure 2 shows the three-tier key hierarchy.</w:t>
      </w:r>
    </w:p>
    <w:p>
      <w:pPr>
        <w:pStyle w:val="Heading3"/>
        <w:keepNext/>
      </w:pPr>
      <w:r>
        <w:t xml:space="preserve">Figure 1 — Component and Data-Flow Architecture</w:t>
      </w:r>
    </w:p>
    <w:tbl>
      <w:tblPr>
        <w:tblW w:w="9360" w:type="dxa"/>
        <w:tblBorders>
          <w:top w:val="nil"/>
          <w:left w:val="nil"/>
          <w:bottom w:val="nil"/>
          <w:right w:val="nil"/>
          <w:insideH w:val="nil"/>
          <w:insideV w:val="nil"/>
        </w:tblBorders>
        <w:tblLayout w:type="fixed"/>
      </w:tblPr>
      <w:tblGrid>
        <w:gridCol w:w="4680"/>
        <w:gridCol w:w="4680"/>
      </w:tblGrid>
      <w:tr>
        <w:tc>
          <w:tcPr>
            <w:tcW w:w="9360" w:type="dxa"/>
            <w:gridSpan w:val="2"/>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CLIENT  —  Data Owner / User</w:t>
            </w:r>
          </w:p>
          <w:p>
            <w:pPr>
              <w:jc w:val="center"/>
              <w:spacing w:after="20" w:line="240" w:lineRule="auto"/>
            </w:pPr>
            <w:r>
              <w:rPr>
                <w:sz w:val="16"/>
                <w:szCs w:val="16"/>
                <w:color w:val="404040"/>
              </w:rPr>
              <w:t xml:space="preserve">AES-256-GCM file encryption   ·   DEK generation</w:t>
            </w:r>
          </w:p>
          <w:p>
            <w:pPr>
              <w:jc w:val="center"/>
              <w:spacing w:after="20" w:line="240" w:lineRule="auto"/>
            </w:pPr>
            <w:r>
              <w:rPr>
                <w:sz w:val="16"/>
                <w:szCs w:val="16"/>
                <w:color w:val="404040"/>
              </w:rPr>
              <w:t xml:space="preserve">RSA-OAEP device-key wrap   ·   RSA-PSS signing</w:t>
            </w:r>
          </w:p>
          <w:p>
            <w:pPr>
              <w:jc w:val="center"/>
              <w:spacing w:after="0" w:line="240" w:lineRule="auto"/>
            </w:pPr>
            <w:r>
              <w:rPr>
                <w:sz w:val="16"/>
                <w:szCs w:val="16"/>
                <w:color w:val="404040"/>
              </w:rPr>
              <w:t xml:space="preserve">Final (light) CP-ABE decryption step</w:t>
            </w:r>
          </w:p>
        </w:tc>
      </w:tr>
      <w:tr>
        <w:tc>
          <w:tcPr>
            <w:tcW w:w="9360" w:type="dxa"/>
            <w:gridSpan w:val="2"/>
            <w:tcBorders>
              <w:top w:val="nil"/>
              <w:left w:val="nil"/>
              <w:bottom w:val="nil"/>
              <w:right w:val="nil"/>
            </w:tcBorders>
            <w:vAlign w:val="center"/>
          </w:tcPr>
          <w:p>
            <w:pPr>
              <w:jc w:val="center"/>
              <w:spacing w:before="60" w:after="60" w:line="240" w:lineRule="auto"/>
            </w:pPr>
            <w:r>
              <w:rPr>
                <w:b/>
                <w:color w:val="2E74B5"/>
                <w:sz w:val="18"/>
                <w:szCs w:val="18"/>
              </w:rPr>
              <w:t xml:space="preserve">↓  Upload (encrypted file + wrapped DEK)          ↑  Download (transformed ciphertext)</w:t>
            </w:r>
          </w:p>
        </w:tc>
      </w:tr>
      <w:tr>
        <w:tc>
          <w:tcPr>
            <w:tcW w:w="468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BACKEND  —  Flask REST API</w:t>
            </w:r>
          </w:p>
          <w:p>
            <w:pPr>
              <w:jc w:val="center"/>
              <w:spacing w:after="20" w:line="240" w:lineRule="auto"/>
            </w:pPr>
            <w:r>
              <w:rPr>
                <w:sz w:val="16"/>
                <w:szCs w:val="16"/>
                <w:color w:val="404040"/>
              </w:rPr>
              <w:t xml:space="preserve">JWT authentication</w:t>
            </w:r>
          </w:p>
          <w:p>
            <w:pPr>
              <w:jc w:val="center"/>
              <w:spacing w:after="20" w:line="240" w:lineRule="auto"/>
            </w:pPr>
            <w:r>
              <w:rPr>
                <w:sz w:val="16"/>
                <w:szCs w:val="16"/>
                <w:color w:val="404040"/>
              </w:rPr>
              <w:t xml:space="preserve">ABAC engine:  PDP · PEP · PIP · PAP</w:t>
            </w:r>
          </w:p>
          <w:p>
            <w:pPr>
              <w:jc w:val="center"/>
              <w:spacing w:after="20" w:line="240" w:lineRule="auto"/>
            </w:pPr>
            <w:r>
              <w:rPr>
                <w:sz w:val="16"/>
                <w:szCs w:val="16"/>
                <w:color w:val="404040"/>
              </w:rPr>
              <w:t xml:space="preserve">CP-ABE key-wrap  ·  outsourced decryption</w:t>
            </w:r>
          </w:p>
          <w:p>
            <w:pPr>
              <w:jc w:val="center"/>
              <w:spacing w:after="0" w:line="240" w:lineRule="auto"/>
            </w:pPr>
            <w:r>
              <w:rPr>
                <w:sz w:val="16"/>
                <w:szCs w:val="16"/>
                <w:color w:val="404040"/>
              </w:rPr>
              <w:t xml:space="preserve">Revocation: versioning + lazy DEK re-wrap</w:t>
            </w:r>
          </w:p>
        </w:tc>
        <w:tc>
          <w:tcPr>
            <w:tcW w:w="468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ATTRIBUTE AUTHORITY (AA)</w:t>
            </w:r>
          </w:p>
          <w:p>
            <w:pPr>
              <w:jc w:val="center"/>
              <w:spacing w:after="20" w:line="240" w:lineRule="auto"/>
            </w:pPr>
            <w:r>
              <w:rPr>
                <w:sz w:val="16"/>
                <w:szCs w:val="16"/>
                <w:color w:val="404040"/>
              </w:rPr>
              <w:t xml:space="preserve">CP-ABE global setup</w:t>
            </w:r>
          </w:p>
          <w:p>
            <w:pPr>
              <w:jc w:val="center"/>
              <w:spacing w:after="20" w:line="240" w:lineRule="auto"/>
            </w:pPr>
            <w:r>
              <w:rPr>
                <w:sz w:val="16"/>
                <w:szCs w:val="16"/>
                <w:color w:val="404040"/>
              </w:rPr>
              <w:t xml:space="preserve">Attribute-key issuance  →  users</w:t>
            </w:r>
          </w:p>
          <w:p>
            <w:pPr>
              <w:jc w:val="center"/>
              <w:spacing w:after="0" w:line="240" w:lineRule="auto"/>
            </w:pPr>
            <w:r>
              <w:rPr>
                <w:sz w:val="16"/>
                <w:szCs w:val="16"/>
                <w:color w:val="404040"/>
              </w:rPr>
              <w:t xml:space="preserve">Key / attribute versioning</w:t>
            </w:r>
          </w:p>
        </w:tc>
      </w:tr>
      <w:tr>
        <w:tc>
          <w:tcPr>
            <w:tcW w:w="9360" w:type="dxa"/>
            <w:gridSpan w:val="2"/>
            <w:tcBorders>
              <w:top w:val="nil"/>
              <w:left w:val="nil"/>
              <w:bottom w:val="nil"/>
              <w:right w:val="nil"/>
            </w:tcBorders>
            <w:vAlign w:val="center"/>
          </w:tcPr>
          <w:p>
            <w:pPr>
              <w:jc w:val="center"/>
              <w:spacing w:before="60" w:after="60" w:line="240" w:lineRule="auto"/>
            </w:pPr>
            <w:r>
              <w:rPr>
                <w:b/>
                <w:color w:val="2E74B5"/>
                <w:sz w:val="18"/>
                <w:szCs w:val="18"/>
              </w:rPr>
              <w:t xml:space="preserve">↓  Backend persists ciphertext, metadata, wrapped keys &amp; audit log</w:t>
            </w:r>
          </w:p>
        </w:tc>
      </w:tr>
      <w:tr>
        <w:tc>
          <w:tcPr>
            <w:tcW w:w="468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MongoDB  —  Metadata</w:t>
            </w:r>
          </w:p>
          <w:p>
            <w:pPr>
              <w:jc w:val="center"/>
              <w:spacing w:after="20" w:line="240" w:lineRule="auto"/>
            </w:pPr>
            <w:r>
              <w:rPr>
                <w:sz w:val="16"/>
                <w:szCs w:val="16"/>
                <w:color w:val="404040"/>
              </w:rPr>
              <w:t xml:space="preserve">Access policies  ·  wrapped keys</w:t>
            </w:r>
          </w:p>
          <w:p>
            <w:pPr>
              <w:jc w:val="center"/>
              <w:spacing w:after="0" w:line="240" w:lineRule="auto"/>
            </w:pPr>
            <w:r>
              <w:rPr>
                <w:sz w:val="16"/>
                <w:szCs w:val="16"/>
                <w:color w:val="404040"/>
              </w:rPr>
              <w:t xml:space="preserve">Key versions  ·  audit log</w:t>
            </w:r>
          </w:p>
        </w:tc>
        <w:tc>
          <w:tcPr>
            <w:tcW w:w="468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OBJECT STORE  —  AWS S3 / Azure Blob</w:t>
            </w:r>
          </w:p>
          <w:p>
            <w:pPr>
              <w:jc w:val="center"/>
              <w:spacing w:after="20" w:line="240" w:lineRule="auto"/>
            </w:pPr>
            <w:r>
              <w:rPr>
                <w:sz w:val="16"/>
                <w:szCs w:val="16"/>
                <w:color w:val="404040"/>
              </w:rPr>
              <w:t xml:space="preserve">Encrypted file objects</w:t>
            </w:r>
          </w:p>
          <w:p>
            <w:pPr>
              <w:jc w:val="center"/>
              <w:spacing w:after="0" w:line="240" w:lineRule="auto"/>
            </w:pPr>
            <w:r>
              <w:rPr>
                <w:sz w:val="16"/>
                <w:szCs w:val="16"/>
                <w:color w:val="404040"/>
              </w:rPr>
              <w:t xml:space="preserve">Accessed via presigned URLs</w:t>
            </w:r>
          </w:p>
        </w:tc>
      </w:tr>
    </w:tbl>
    <w:p/>
    <w:p>
      <w:pPr>
        <w:pStyle w:val="Heading3"/>
        <w:keepNext/>
      </w:pPr>
      <w:r>
        <w:t xml:space="preserve">Data Flows</w:t>
      </w:r>
    </w:p>
    <w:p>
      <w:pPr>
        <w:pStyle w:val="Normal"/>
      </w:pPr>
      <w:r>
        <w:t xml:space="preserve">Upload (owner): (1) generate a random DEK; (2) AES-256-GCM encrypt the file; (3) wrap the DEK under a CP-ABE access policy; (4) optionally wrap it under the recipient’s RSA public key for device binding; (5) compute SHA-256 and an RSA-PSS signature; (6) store the ciphertext in S3/Azure and the metadata, wrapped keys, policy, and version in MongoDB.</w:t>
      </w:r>
    </w:p>
    <w:p>
      <w:pPr>
        <w:pStyle w:val="Normal"/>
      </w:pPr>
      <w:r>
        <w:t xml:space="preserve">Download (user): (1) authenticate with JWT; (2) the ABAC PDP evaluates subject/object/action/environment attributes; (3) if permitted, the server performs the outsourced CP-ABE transformation using the user’s transform key; (4) the client completes the light final decryption to recover the DEK; (5) the client AES-GCM-decrypts the file and verifies the GCM tag and signature.</w:t>
      </w:r>
    </w:p>
    <w:p>
      <w:pPr>
        <w:pStyle w:val="Normal"/>
      </w:pPr>
      <w:r>
        <w:t xml:space="preserve">Revocation: increment the attribute/key version, then lazily re-wrap only the 32-byte DEK on the next access (no file re-encryption), while the ABAC layer denies the revoked user instantly in parallel.</w:t>
      </w:r>
    </w:p>
    <w:p>
      <w:pPr>
        <w:pStyle w:val="Heading3"/>
        <w:keepNext/>
      </w:pPr>
      <w:r>
        <w:t xml:space="preserve">Figure 2 — Three-Tier Key Hierarchy</w:t>
      </w:r>
    </w:p>
    <w:tbl>
      <w:tblPr>
        <w:tblW w:w="6000" w:type="dxa"/>
        <w:jc w:val="center"/>
        <w:tblBorders>
          <w:top w:val="nil"/>
          <w:left w:val="nil"/>
          <w:bottom w:val="nil"/>
          <w:right w:val="nil"/>
          <w:insideH w:val="nil"/>
          <w:insideV w:val="nil"/>
        </w:tblBorders>
        <w:tblLayout w:type="fixed"/>
      </w:tblPr>
      <w:tblGrid>
        <w:gridCol w:w="6000"/>
      </w:tblGrid>
      <w:tr>
        <w:tc>
          <w:tcPr>
            <w:tcW w:w="600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0" w:line="240" w:lineRule="auto"/>
            </w:pPr>
            <w:r>
              <w:rPr>
                <w:b/>
                <w:color w:val="1F3864"/>
                <w:sz w:val="20"/>
                <w:szCs w:val="20"/>
              </w:rPr>
              <w:t xml:space="preserve">File  (plaintext)</w:t>
            </w:r>
          </w:p>
        </w:tc>
      </w:tr>
      <w:tr>
        <w:tc>
          <w:tcPr>
            <w:tcW w:w="6000" w:type="dxa"/>
            <w:tcBorders>
              <w:top w:val="nil"/>
              <w:left w:val="nil"/>
              <w:bottom w:val="nil"/>
              <w:right w:val="nil"/>
            </w:tcBorders>
            <w:vAlign w:val="center"/>
          </w:tcPr>
          <w:p>
            <w:pPr>
              <w:jc w:val="center"/>
              <w:spacing w:before="60" w:after="60" w:line="240" w:lineRule="auto"/>
            </w:pPr>
            <w:r>
              <w:rPr>
                <w:b/>
                <w:color w:val="2E74B5"/>
                <w:sz w:val="18"/>
                <w:szCs w:val="18"/>
              </w:rPr>
              <w:t xml:space="preserve">↓   AES-256-GCM encryption</w:t>
            </w:r>
          </w:p>
        </w:tc>
      </w:tr>
      <w:tr>
        <w:tc>
          <w:tcPr>
            <w:tcW w:w="600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Data-Encryption Key (DEK)</w:t>
            </w:r>
          </w:p>
          <w:p>
            <w:pPr>
              <w:jc w:val="center"/>
              <w:spacing w:after="0" w:line="240" w:lineRule="auto"/>
            </w:pPr>
            <w:r>
              <w:rPr>
                <w:sz w:val="16"/>
                <w:szCs w:val="16"/>
                <w:color w:val="404040"/>
              </w:rPr>
              <w:t xml:space="preserve">256-bit symmetric key</w:t>
            </w:r>
          </w:p>
        </w:tc>
      </w:tr>
      <w:tr>
        <w:tc>
          <w:tcPr>
            <w:tcW w:w="6000" w:type="dxa"/>
            <w:tcBorders>
              <w:top w:val="nil"/>
              <w:left w:val="nil"/>
              <w:bottom w:val="nil"/>
              <w:right w:val="nil"/>
            </w:tcBorders>
            <w:vAlign w:val="center"/>
          </w:tcPr>
          <w:p>
            <w:pPr>
              <w:jc w:val="center"/>
              <w:spacing w:before="60" w:after="60" w:line="240" w:lineRule="auto"/>
            </w:pPr>
            <w:r>
              <w:rPr>
                <w:b/>
                <w:color w:val="2E74B5"/>
                <w:sz w:val="18"/>
                <w:szCs w:val="18"/>
              </w:rPr>
              <w:t xml:space="preserve">↓   Tier 1 — wrap under CP-ABE access policy</w:t>
            </w:r>
          </w:p>
        </w:tc>
      </w:tr>
      <w:tr>
        <w:tc>
          <w:tcPr>
            <w:tcW w:w="600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CP-ABE-wrapped DEK</w:t>
            </w:r>
          </w:p>
          <w:p>
            <w:pPr>
              <w:jc w:val="center"/>
              <w:spacing w:after="0" w:line="240" w:lineRule="auto"/>
            </w:pPr>
            <w:r>
              <w:rPr>
                <w:sz w:val="16"/>
                <w:szCs w:val="16"/>
                <w:color w:val="404040"/>
              </w:rPr>
              <w:t xml:space="preserve">attribute-based authorisation</w:t>
            </w:r>
          </w:p>
        </w:tc>
      </w:tr>
      <w:tr>
        <w:tc>
          <w:tcPr>
            <w:tcW w:w="6000" w:type="dxa"/>
            <w:tcBorders>
              <w:top w:val="nil"/>
              <w:left w:val="nil"/>
              <w:bottom w:val="nil"/>
              <w:right w:val="nil"/>
            </w:tcBorders>
            <w:vAlign w:val="center"/>
          </w:tcPr>
          <w:p>
            <w:pPr>
              <w:jc w:val="center"/>
              <w:spacing w:before="60" w:after="60" w:line="240" w:lineRule="auto"/>
            </w:pPr>
            <w:r>
              <w:rPr>
                <w:b/>
                <w:color w:val="2E74B5"/>
                <w:sz w:val="18"/>
                <w:szCs w:val="18"/>
              </w:rPr>
              <w:t xml:space="preserve">↓   Tier 2 — wrap under per-user RSA-OAEP public key</w:t>
            </w:r>
          </w:p>
        </w:tc>
      </w:tr>
      <w:tr>
        <w:tc>
          <w:tcPr>
            <w:tcW w:w="600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40" w:line="240" w:lineRule="auto"/>
            </w:pPr>
            <w:r>
              <w:rPr>
                <w:b/>
                <w:color w:val="1F3864"/>
                <w:sz w:val="20"/>
                <w:szCs w:val="20"/>
              </w:rPr>
              <w:t xml:space="preserve">RSA-wrapped DEK</w:t>
            </w:r>
          </w:p>
          <w:p>
            <w:pPr>
              <w:jc w:val="center"/>
              <w:spacing w:after="0" w:line="240" w:lineRule="auto"/>
            </w:pPr>
            <w:r>
              <w:rPr>
                <w:sz w:val="16"/>
                <w:szCs w:val="16"/>
                <w:color w:val="404040"/>
              </w:rPr>
              <w:t xml:space="preserve">device / user binding</w:t>
            </w:r>
          </w:p>
        </w:tc>
      </w:tr>
      <w:tr>
        <w:tc>
          <w:tcPr>
            <w:tcW w:w="6000" w:type="dxa"/>
            <w:tcBorders>
              <w:top w:val="nil"/>
              <w:left w:val="nil"/>
              <w:bottom w:val="nil"/>
              <w:right w:val="nil"/>
            </w:tcBorders>
            <w:vAlign w:val="center"/>
          </w:tcPr>
          <w:p>
            <w:pPr>
              <w:jc w:val="center"/>
              <w:spacing w:before="60" w:after="60" w:line="240" w:lineRule="auto"/>
            </w:pPr>
            <w:r>
              <w:rPr>
                <w:b/>
                <w:color w:val="2E74B5"/>
                <w:sz w:val="18"/>
                <w:szCs w:val="18"/>
              </w:rPr>
              <w:t xml:space="preserve">↓   Tier 3 — SHA-256 hash + RSA-PSS signature (integrity)</w:t>
            </w:r>
          </w:p>
        </w:tc>
      </w:tr>
      <w:tr>
        <w:tc>
          <w:tcPr>
            <w:tcW w:w="6000" w:type="dxa"/>
            <w:tcBorders>
              <w:top w:val="single" w:sz="8" w:space="0" w:color="2E74B5"/>
              <w:left w:val="single" w:sz="8" w:space="0" w:color="2E74B5"/>
              <w:bottom w:val="single" w:sz="8" w:space="0" w:color="2E74B5"/>
              <w:right w:val="single" w:sz="8" w:space="0" w:color="2E74B5"/>
            </w:tcBorders>
            <w:shd w:val="clear" w:color="auto" w:fill="DBE5F1"/>
            <w:tcMar>
              <w:top w:w="100" w:type="dxa"/>
              <w:bottom w:w="100" w:type="dxa"/>
              <w:left w:w="120" w:type="dxa"/>
              <w:right w:w="120" w:type="dxa"/>
            </w:tcMar>
            <w:vAlign w:val="center"/>
          </w:tcPr>
          <w:p>
            <w:pPr>
              <w:jc w:val="center"/>
              <w:spacing w:after="0" w:line="240" w:lineRule="auto"/>
            </w:pPr>
            <w:r>
              <w:rPr>
                <w:b/>
                <w:color w:val="1F3864"/>
                <w:sz w:val="20"/>
                <w:szCs w:val="20"/>
              </w:rPr>
              <w:t xml:space="preserve">Stored ciphertext  +  wrapped keys  +  signature</w:t>
            </w:r>
          </w:p>
        </w:tc>
      </w:tr>
    </w:tbl>
    <w:p/>
    <w:p>
      <w:pPr>
        <w:pStyle w:val="Heading1"/>
        <w:keepNext/>
      </w:pPr>
      <w:r>
        <w:t xml:space="preserve">VII. Feasibility Study and Analysis</w:t>
      </w:r>
    </w:p>
    <w:p>
      <w:pPr>
        <w:pStyle w:val="Heading2"/>
        <w:keepNext/>
      </w:pPr>
      <w:r>
        <w:t xml:space="preserve">A. Technical Feasibility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3000"/>
        <w:gridCol w:w="3360"/>
      </w:tblGrid>
      <w:tr>
        <w:trPr>
          <w:tblHeader/>
        </w:trPr>
        <w:tc>
          <w:tcPr>
            <w:tcW w:w="3000" w:type="dxa"/>
            <w:shd w:val="clear" w:fill="1F3864"/>
            <w:vAlign w:val="center"/>
          </w:tcPr>
          <w:p>
            <w:pPr>
              <w:spacing w:before="20" w:after="20"/>
            </w:pPr>
            <w:r>
              <w:rPr>
                <w:b/>
                <w:color w:val="FFFFFF"/>
              </w:rPr>
              <w:t xml:space="preserve">Aspect</w:t>
            </w:r>
          </w:p>
        </w:tc>
        <w:tc>
          <w:tcPr>
            <w:tcW w:w="3000" w:type="dxa"/>
            <w:shd w:val="clear" w:fill="1F3864"/>
            <w:vAlign w:val="center"/>
          </w:tcPr>
          <w:p>
            <w:pPr>
              <w:spacing w:before="20" w:after="20"/>
            </w:pPr>
            <w:r>
              <w:rPr>
                <w:b/>
                <w:color w:val="FFFFFF"/>
              </w:rPr>
              <w:t xml:space="preserve">Assessment</w:t>
            </w:r>
          </w:p>
        </w:tc>
        <w:tc>
          <w:tcPr>
            <w:tcW w:w="3360" w:type="dxa"/>
            <w:shd w:val="clear" w:fill="1F3864"/>
            <w:vAlign w:val="center"/>
          </w:tcPr>
          <w:p>
            <w:pPr>
              <w:spacing w:before="20" w:after="20"/>
            </w:pPr>
            <w:r>
              <w:rPr>
                <w:b/>
                <w:color w:val="FFFFFF"/>
              </w:rPr>
              <w:t xml:space="preserve">Risk / Mitigation</w:t>
            </w:r>
          </w:p>
        </w:tc>
      </w:tr>
      <w:tr>
        <w:tc>
          <w:tcPr>
            <w:tcW w:w="3000" w:type="dxa"/>
            <w:vAlign w:val="center"/>
          </w:tcPr>
          <w:p>
            <w:pPr>
              <w:spacing w:before="20" w:after="20"/>
            </w:pPr>
            <w:r>
              <w:t xml:space="preserve">AES / RSA / SHA-256 / signatures</w:t>
            </w:r>
          </w:p>
        </w:tc>
        <w:tc>
          <w:tcPr>
            <w:tcW w:w="3000" w:type="dxa"/>
            <w:vAlign w:val="center"/>
          </w:tcPr>
          <w:p>
            <w:pPr>
              <w:spacing w:before="20" w:after="20"/>
            </w:pPr>
            <w:r>
              <w:t xml:space="preserve">High — mature libraries</w:t>
            </w:r>
          </w:p>
        </w:tc>
        <w:tc>
          <w:tcPr>
            <w:tcW w:w="3360" w:type="dxa"/>
            <w:vAlign w:val="center"/>
          </w:tcPr>
          <w:p>
            <w:pPr>
              <w:spacing w:before="20" w:after="20"/>
            </w:pPr>
            <w:r>
              <w:t xml:space="preserve">Low risk</w:t>
            </w:r>
          </w:p>
        </w:tc>
      </w:tr>
      <w:tr>
        <w:tc>
          <w:tcPr>
            <w:tcW w:w="3000" w:type="dxa"/>
            <w:vAlign w:val="center"/>
          </w:tcPr>
          <w:p>
            <w:pPr>
              <w:spacing w:before="20" w:after="20"/>
            </w:pPr>
            <w:r>
              <w:t xml:space="preserve">CP-ABE (BSW07)</w:t>
            </w:r>
          </w:p>
        </w:tc>
        <w:tc>
          <w:tcPr>
            <w:tcW w:w="3000" w:type="dxa"/>
            <w:vAlign w:val="center"/>
          </w:tcPr>
          <w:p>
            <w:pPr>
              <w:spacing w:before="20" w:after="20"/>
            </w:pPr>
            <w:r>
              <w:t xml:space="preserve">Feasible via Charm-Crypto</w:t>
            </w:r>
          </w:p>
        </w:tc>
        <w:tc>
          <w:tcPr>
            <w:tcW w:w="3360" w:type="dxa"/>
            <w:vAlign w:val="center"/>
          </w:tcPr>
          <w:p>
            <w:pPr>
              <w:spacing w:before="20" w:after="20"/>
            </w:pPr>
            <w:r>
              <w:t xml:space="preserve">Build complexity is the main risk; addressed with Docker in Week 1 plus a documented simulated fallback</w:t>
            </w:r>
          </w:p>
        </w:tc>
      </w:tr>
      <w:tr>
        <w:tc>
          <w:tcPr>
            <w:tcW w:w="3000" w:type="dxa"/>
            <w:vAlign w:val="center"/>
          </w:tcPr>
          <w:p>
            <w:pPr>
              <w:spacing w:before="20" w:after="20"/>
            </w:pPr>
            <w:r>
              <w:t xml:space="preserve">Flask + MongoDB + JWT + ABAC</w:t>
            </w:r>
          </w:p>
        </w:tc>
        <w:tc>
          <w:tcPr>
            <w:tcW w:w="3000" w:type="dxa"/>
            <w:vAlign w:val="center"/>
          </w:tcPr>
          <w:p>
            <w:pPr>
              <w:spacing w:before="20" w:after="20"/>
            </w:pPr>
            <w:r>
              <w:t xml:space="preserve">High — standard stack</w:t>
            </w:r>
          </w:p>
        </w:tc>
        <w:tc>
          <w:tcPr>
            <w:tcW w:w="3360" w:type="dxa"/>
            <w:vAlign w:val="center"/>
          </w:tcPr>
          <w:p>
            <w:pPr>
              <w:spacing w:before="20" w:after="20"/>
            </w:pPr>
            <w:r>
              <w:t xml:space="preserve">Low risk</w:t>
            </w:r>
          </w:p>
        </w:tc>
      </w:tr>
      <w:tr>
        <w:tc>
          <w:tcPr>
            <w:tcW w:w="3000" w:type="dxa"/>
            <w:vAlign w:val="center"/>
          </w:tcPr>
          <w:p>
            <w:pPr>
              <w:spacing w:before="20" w:after="20"/>
            </w:pPr>
            <w:r>
              <w:t xml:space="preserve">S3 / Azure Blob integration</w:t>
            </w:r>
          </w:p>
        </w:tc>
        <w:tc>
          <w:tcPr>
            <w:tcW w:w="3000" w:type="dxa"/>
            <w:vAlign w:val="center"/>
          </w:tcPr>
          <w:p>
            <w:pPr>
              <w:spacing w:before="20" w:after="20"/>
            </w:pPr>
            <w:r>
              <w:t xml:space="preserve">High — mature SDKs</w:t>
            </w:r>
          </w:p>
        </w:tc>
        <w:tc>
          <w:tcPr>
            <w:tcW w:w="3360" w:type="dxa"/>
            <w:vAlign w:val="center"/>
          </w:tcPr>
          <w:p>
            <w:pPr>
              <w:spacing w:before="20" w:after="20"/>
            </w:pPr>
            <w:r>
              <w:t xml:space="preserve">Free-tier limits; test files kept small</w:t>
            </w:r>
          </w:p>
        </w:tc>
      </w:tr>
      <w:tr>
        <w:tc>
          <w:tcPr>
            <w:tcW w:w="3000" w:type="dxa"/>
            <w:vAlign w:val="center"/>
          </w:tcPr>
          <w:p>
            <w:pPr>
              <w:spacing w:before="20" w:after="20"/>
            </w:pPr>
            <w:r>
              <w:t xml:space="preserve">Attribute-versioning revocation</w:t>
            </w:r>
          </w:p>
        </w:tc>
        <w:tc>
          <w:tcPr>
            <w:tcW w:w="3000" w:type="dxa"/>
            <w:vAlign w:val="center"/>
          </w:tcPr>
          <w:p>
            <w:pPr>
              <w:spacing w:before="20" w:after="20"/>
            </w:pPr>
            <w:r>
              <w:t xml:space="preserve">Feasible — 32-byte re-wrap</w:t>
            </w:r>
          </w:p>
        </w:tc>
        <w:tc>
          <w:tcPr>
            <w:tcW w:w="3360" w:type="dxa"/>
            <w:vAlign w:val="center"/>
          </w:tcPr>
          <w:p>
            <w:pPr>
              <w:spacing w:before="20" w:after="20"/>
            </w:pPr>
            <w:r>
              <w:t xml:space="preserve">Medium risk; scope limited to lazy re-wrap</w:t>
            </w:r>
          </w:p>
        </w:tc>
      </w:tr>
    </w:tbl>
    <w:p>
      <w:pPr>
        <w:pStyle w:val="Normal"/>
        <w:spacing w:after="0"/>
      </w:pPr>
      <w:r>
        <w:t xml:space="preserve"/>
      </w:r>
    </w:p>
    <w:p>
      <w:pPr>
        <w:pStyle w:val="Heading2"/>
        <w:keepNext/>
      </w:pPr>
      <w:r>
        <w:t xml:space="preserve">B. Operational and Schedule Feasibility</w:t>
      </w:r>
    </w:p>
    <w:p>
      <w:pPr>
        <w:pStyle w:val="Normal"/>
      </w:pPr>
      <w:r>
        <w:t xml:space="preserve">Operational feasibility is assessed along three axes — schedule, task dependencies, and team capacity — rather than as a flat list of dates. The work is organised into five phases over a 15-week semester (Table IV). The critical path runs P1 → P2 → P3 → P5: the cryptographic core must exist before the CP-ABE envelope, which must exist before the API, on which the evaluation depends. Revocation (P4) branches from P3 and rejoins at P5.</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700"/>
        <w:gridCol w:w="900"/>
        <w:gridCol w:w="3760"/>
        <w:gridCol w:w="2500"/>
        <w:gridCol w:w="1500"/>
      </w:tblGrid>
      <w:tr>
        <w:trPr>
          <w:tblHeader/>
        </w:trPr>
        <w:tc>
          <w:tcPr>
            <w:tcW w:w="700" w:type="dxa"/>
            <w:shd w:val="clear" w:fill="1F3864"/>
            <w:vAlign w:val="center"/>
          </w:tcPr>
          <w:p>
            <w:pPr>
              <w:spacing w:before="20" w:after="20"/>
            </w:pPr>
            <w:r>
              <w:rPr>
                <w:b/>
                <w:color w:val="FFFFFF"/>
              </w:rPr>
              <w:t xml:space="preserve">Phase</w:t>
            </w:r>
          </w:p>
        </w:tc>
        <w:tc>
          <w:tcPr>
            <w:tcW w:w="900" w:type="dxa"/>
            <w:shd w:val="clear" w:fill="1F3864"/>
            <w:vAlign w:val="center"/>
          </w:tcPr>
          <w:p>
            <w:pPr>
              <w:spacing w:before="20" w:after="20"/>
            </w:pPr>
            <w:r>
              <w:rPr>
                <w:b/>
                <w:color w:val="FFFFFF"/>
              </w:rPr>
              <w:t xml:space="preserve">Weeks</w:t>
            </w:r>
          </w:p>
        </w:tc>
        <w:tc>
          <w:tcPr>
            <w:tcW w:w="3760" w:type="dxa"/>
            <w:shd w:val="clear" w:fill="1F3864"/>
            <w:vAlign w:val="center"/>
          </w:tcPr>
          <w:p>
            <w:pPr>
              <w:spacing w:before="20" w:after="20"/>
            </w:pPr>
            <w:r>
              <w:rPr>
                <w:b/>
                <w:color w:val="FFFFFF"/>
              </w:rPr>
              <w:t xml:space="preserve">Key tasks</w:t>
            </w:r>
          </w:p>
        </w:tc>
        <w:tc>
          <w:tcPr>
            <w:tcW w:w="2500" w:type="dxa"/>
            <w:shd w:val="clear" w:fill="1F3864"/>
            <w:vAlign w:val="center"/>
          </w:tcPr>
          <w:p>
            <w:pPr>
              <w:spacing w:before="20" w:after="20"/>
            </w:pPr>
            <w:r>
              <w:rPr>
                <w:b/>
                <w:color w:val="FFFFFF"/>
              </w:rPr>
              <w:t xml:space="preserve">Deliverable</w:t>
            </w:r>
          </w:p>
        </w:tc>
        <w:tc>
          <w:tcPr>
            <w:tcW w:w="1500" w:type="dxa"/>
            <w:shd w:val="clear" w:fill="1F3864"/>
            <w:vAlign w:val="center"/>
          </w:tcPr>
          <w:p>
            <w:pPr>
              <w:spacing w:before="20" w:after="20"/>
            </w:pPr>
            <w:r>
              <w:rPr>
                <w:b/>
                <w:color w:val="FFFFFF"/>
              </w:rPr>
              <w:t xml:space="preserve">Depends on</w:t>
            </w:r>
          </w:p>
        </w:tc>
      </w:tr>
      <w:tr>
        <w:tc>
          <w:tcPr>
            <w:tcW w:w="700" w:type="dxa"/>
            <w:vAlign w:val="center"/>
          </w:tcPr>
          <w:p>
            <w:pPr>
              <w:spacing w:before="20" w:after="20"/>
            </w:pPr>
            <w:r>
              <w:t xml:space="preserve">P1</w:t>
            </w:r>
          </w:p>
        </w:tc>
        <w:tc>
          <w:tcPr>
            <w:tcW w:w="900" w:type="dxa"/>
            <w:vAlign w:val="center"/>
          </w:tcPr>
          <w:p>
            <w:pPr>
              <w:spacing w:before="20" w:after="20"/>
            </w:pPr>
            <w:r>
              <w:t xml:space="preserve">1–3</w:t>
            </w:r>
          </w:p>
        </w:tc>
        <w:tc>
          <w:tcPr>
            <w:tcW w:w="3760" w:type="dxa"/>
            <w:vAlign w:val="center"/>
          </w:tcPr>
          <w:p>
            <w:pPr>
              <w:spacing w:before="20" w:after="20"/>
            </w:pPr>
            <w:r>
              <w:t xml:space="preserve">Literature review; AES-256-GCM + RSA-OAEP modules</w:t>
            </w:r>
          </w:p>
        </w:tc>
        <w:tc>
          <w:tcPr>
            <w:tcW w:w="2500" w:type="dxa"/>
            <w:vAlign w:val="center"/>
          </w:tcPr>
          <w:p>
            <w:pPr>
              <w:spacing w:before="20" w:after="20"/>
            </w:pPr>
            <w:r>
              <w:t xml:space="preserve">Crypto primitives + report §II</w:t>
            </w:r>
          </w:p>
        </w:tc>
        <w:tc>
          <w:tcPr>
            <w:tcW w:w="1500" w:type="dxa"/>
            <w:vAlign w:val="center"/>
          </w:tcPr>
          <w:p>
            <w:pPr>
              <w:spacing w:before="20" w:after="20"/>
            </w:pPr>
            <w:r>
              <w:t xml:space="preserve">—</w:t>
            </w:r>
          </w:p>
        </w:tc>
      </w:tr>
      <w:tr>
        <w:tc>
          <w:tcPr>
            <w:tcW w:w="700" w:type="dxa"/>
            <w:vAlign w:val="center"/>
          </w:tcPr>
          <w:p>
            <w:pPr>
              <w:spacing w:before="20" w:after="20"/>
            </w:pPr>
            <w:r>
              <w:t xml:space="preserve">P2</w:t>
            </w:r>
          </w:p>
        </w:tc>
        <w:tc>
          <w:tcPr>
            <w:tcW w:w="900" w:type="dxa"/>
            <w:vAlign w:val="center"/>
          </w:tcPr>
          <w:p>
            <w:pPr>
              <w:spacing w:before="20" w:after="20"/>
            </w:pPr>
            <w:r>
              <w:t xml:space="preserve">4–6</w:t>
            </w:r>
          </w:p>
        </w:tc>
        <w:tc>
          <w:tcPr>
            <w:tcW w:w="3760" w:type="dxa"/>
            <w:vAlign w:val="center"/>
          </w:tcPr>
          <w:p>
            <w:pPr>
              <w:spacing w:before="20" w:after="20"/>
            </w:pPr>
            <w:r>
              <w:t xml:space="preserve">CP-ABE (BSW07) via Charm in Docker; hybrid envelope</w:t>
            </w:r>
          </w:p>
        </w:tc>
        <w:tc>
          <w:tcPr>
            <w:tcW w:w="2500" w:type="dxa"/>
            <w:vAlign w:val="center"/>
          </w:tcPr>
          <w:p>
            <w:pPr>
              <w:spacing w:before="20" w:after="20"/>
            </w:pPr>
            <w:r>
              <w:t xml:space="preserve">Working key-wrap module</w:t>
            </w:r>
          </w:p>
        </w:tc>
        <w:tc>
          <w:tcPr>
            <w:tcW w:w="1500" w:type="dxa"/>
            <w:vAlign w:val="center"/>
          </w:tcPr>
          <w:p>
            <w:pPr>
              <w:spacing w:before="20" w:after="20"/>
            </w:pPr>
            <w:r>
              <w:t xml:space="preserve">P1</w:t>
            </w:r>
          </w:p>
        </w:tc>
      </w:tr>
      <w:tr>
        <w:tc>
          <w:tcPr>
            <w:tcW w:w="700" w:type="dxa"/>
            <w:vAlign w:val="center"/>
          </w:tcPr>
          <w:p>
            <w:pPr>
              <w:spacing w:before="20" w:after="20"/>
            </w:pPr>
            <w:r>
              <w:t xml:space="preserve">P3</w:t>
            </w:r>
          </w:p>
        </w:tc>
        <w:tc>
          <w:tcPr>
            <w:tcW w:w="900" w:type="dxa"/>
            <w:vAlign w:val="center"/>
          </w:tcPr>
          <w:p>
            <w:pPr>
              <w:spacing w:before="20" w:after="20"/>
            </w:pPr>
            <w:r>
              <w:t xml:space="preserve">7–9</w:t>
            </w:r>
          </w:p>
        </w:tc>
        <w:tc>
          <w:tcPr>
            <w:tcW w:w="3760" w:type="dxa"/>
            <w:vAlign w:val="center"/>
          </w:tcPr>
          <w:p>
            <w:pPr>
              <w:spacing w:before="20" w:after="20"/>
            </w:pPr>
            <w:r>
              <w:t xml:space="preserve">Flask API, JWT, ABAC PDP/PEP/PIP/PAP, S3/Azure adapters</w:t>
            </w:r>
          </w:p>
        </w:tc>
        <w:tc>
          <w:tcPr>
            <w:tcW w:w="2500" w:type="dxa"/>
            <w:vAlign w:val="center"/>
          </w:tcPr>
          <w:p>
            <w:pPr>
              <w:spacing w:before="20" w:after="20"/>
            </w:pPr>
            <w:r>
              <w:t xml:space="preserve">REST backend</w:t>
            </w:r>
          </w:p>
        </w:tc>
        <w:tc>
          <w:tcPr>
            <w:tcW w:w="1500" w:type="dxa"/>
            <w:vAlign w:val="center"/>
          </w:tcPr>
          <w:p>
            <w:pPr>
              <w:spacing w:before="20" w:after="20"/>
            </w:pPr>
            <w:r>
              <w:t xml:space="preserve">P2</w:t>
            </w:r>
          </w:p>
        </w:tc>
      </w:tr>
      <w:tr>
        <w:tc>
          <w:tcPr>
            <w:tcW w:w="700" w:type="dxa"/>
            <w:vAlign w:val="center"/>
          </w:tcPr>
          <w:p>
            <w:pPr>
              <w:spacing w:before="20" w:after="20"/>
            </w:pPr>
            <w:r>
              <w:t xml:space="preserve">P4</w:t>
            </w:r>
          </w:p>
        </w:tc>
        <w:tc>
          <w:tcPr>
            <w:tcW w:w="900" w:type="dxa"/>
            <w:vAlign w:val="center"/>
          </w:tcPr>
          <w:p>
            <w:pPr>
              <w:spacing w:before="20" w:after="20"/>
            </w:pPr>
            <w:r>
              <w:t xml:space="preserve">10–11</w:t>
            </w:r>
          </w:p>
        </w:tc>
        <w:tc>
          <w:tcPr>
            <w:tcW w:w="3760" w:type="dxa"/>
            <w:vAlign w:val="center"/>
          </w:tcPr>
          <w:p>
            <w:pPr>
              <w:spacing w:before="20" w:after="20"/>
            </w:pPr>
            <w:r>
              <w:t xml:space="preserve">Sharing, versioned revocation, attribute-authority console</w:t>
            </w:r>
          </w:p>
        </w:tc>
        <w:tc>
          <w:tcPr>
            <w:tcW w:w="2500" w:type="dxa"/>
            <w:vAlign w:val="center"/>
          </w:tcPr>
          <w:p>
            <w:pPr>
              <w:spacing w:before="20" w:after="20"/>
            </w:pPr>
            <w:r>
              <w:t xml:space="preserve">Revocation prototype</w:t>
            </w:r>
          </w:p>
        </w:tc>
        <w:tc>
          <w:tcPr>
            <w:tcW w:w="1500" w:type="dxa"/>
            <w:vAlign w:val="center"/>
          </w:tcPr>
          <w:p>
            <w:pPr>
              <w:spacing w:before="20" w:after="20"/>
            </w:pPr>
            <w:r>
              <w:t xml:space="preserve">P3</w:t>
            </w:r>
          </w:p>
        </w:tc>
      </w:tr>
      <w:tr>
        <w:tc>
          <w:tcPr>
            <w:tcW w:w="700" w:type="dxa"/>
            <w:vAlign w:val="center"/>
          </w:tcPr>
          <w:p>
            <w:pPr>
              <w:spacing w:before="20" w:after="20"/>
            </w:pPr>
            <w:r>
              <w:t xml:space="preserve">P5</w:t>
            </w:r>
          </w:p>
        </w:tc>
        <w:tc>
          <w:tcPr>
            <w:tcW w:w="900" w:type="dxa"/>
            <w:vAlign w:val="center"/>
          </w:tcPr>
          <w:p>
            <w:pPr>
              <w:spacing w:before="20" w:after="20"/>
            </w:pPr>
            <w:r>
              <w:t xml:space="preserve">12–15</w:t>
            </w:r>
          </w:p>
        </w:tc>
        <w:tc>
          <w:tcPr>
            <w:tcW w:w="3760" w:type="dxa"/>
            <w:vAlign w:val="center"/>
          </w:tcPr>
          <w:p>
            <w:pPr>
              <w:spacing w:before="20" w:after="20"/>
            </w:pPr>
            <w:r>
              <w:t xml:space="preserve">Minimal UI, benchmarking, security analysis, report + paper</w:t>
            </w:r>
          </w:p>
        </w:tc>
        <w:tc>
          <w:tcPr>
            <w:tcW w:w="2500" w:type="dxa"/>
            <w:vAlign w:val="center"/>
          </w:tcPr>
          <w:p>
            <w:pPr>
              <w:spacing w:before="20" w:after="20"/>
            </w:pPr>
            <w:r>
              <w:t xml:space="preserve">Evaluation + final report</w:t>
            </w:r>
          </w:p>
        </w:tc>
        <w:tc>
          <w:tcPr>
            <w:tcW w:w="1500" w:type="dxa"/>
            <w:vAlign w:val="center"/>
          </w:tcPr>
          <w:p>
            <w:pPr>
              <w:spacing w:before="20" w:after="20"/>
            </w:pPr>
            <w:r>
              <w:t xml:space="preserve">P3, P4</w:t>
            </w:r>
          </w:p>
        </w:tc>
      </w:tr>
    </w:tbl>
    <w:p>
      <w:pPr>
        <w:pStyle w:val="Normal"/>
        <w:spacing w:after="0"/>
      </w:pPr>
      <w:r>
        <w:t xml:space="preserve"/>
      </w:r>
    </w:p>
    <w:p>
      <w:pPr>
        <w:pStyle w:val="Normal"/>
      </w:pPr>
      <w:r>
        <w:t xml:space="preserve">Team capacity: the four members map to parallel workstreams — crypto core and CP-ABE (Kushagra, Vansh), backend API and ABAC engine (Vansh, Geetanshi), storage/metadata and revocation (Geetanshi, Himanshi), and evaluation, UI, and documentation (Himanshi, Kushagra). Pairing on each stream provides redundancy of knowledge.</w:t>
      </w:r>
    </w:p>
    <w:p>
      <w:pPr>
        <w:pStyle w:val="Normal"/>
      </w:pPr>
      <w:r>
        <w:t xml:space="preserve">Risk buffer: the schedule reserves the tail of P5 as slack, and the single largest risk — building Charm-Crypto — is front-loaded into Week 1 with a documented simulated-CP-ABE fallback held in reserve. With this dependency structure and team split, the project is operationally achievable within one semester.</w:t>
      </w:r>
    </w:p>
    <w:p>
      <w:pPr>
        <w:pStyle w:val="Heading2"/>
        <w:keepNext/>
      </w:pPr>
      <w:r>
        <w:t xml:space="preserve">C. Economic Feasibility</w:t>
      </w:r>
    </w:p>
    <w:p>
      <w:pPr>
        <w:pStyle w:val="Normal"/>
      </w:pPr>
      <w:r>
        <w:t xml:space="preserve">The framework can be built at close to zero cost: all components are open-source, cloud free tiers or student credits cover the infrastructure, MongoDB runs locally, and benchmarking needs only a commodity laptop.</w:t>
      </w:r>
    </w:p>
    <w:p>
      <w:pPr>
        <w:pStyle w:val="Heading2"/>
        <w:keepNext/>
      </w:pPr>
      <w:r>
        <w:t xml:space="preserve">D. Security Feasibility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200"/>
        <w:gridCol w:w="6160"/>
      </w:tblGrid>
      <w:tr>
        <w:trPr>
          <w:tblHeader/>
        </w:trPr>
        <w:tc>
          <w:tcPr>
            <w:tcW w:w="3200" w:type="dxa"/>
            <w:shd w:val="clear" w:fill="1F3864"/>
            <w:vAlign w:val="center"/>
          </w:tcPr>
          <w:p>
            <w:pPr>
              <w:spacing w:before="20" w:after="20"/>
            </w:pPr>
            <w:r>
              <w:rPr>
                <w:b/>
                <w:color w:val="FFFFFF"/>
              </w:rPr>
              <w:t xml:space="preserve">Threat</w:t>
            </w:r>
          </w:p>
        </w:tc>
        <w:tc>
          <w:tcPr>
            <w:tcW w:w="6160" w:type="dxa"/>
            <w:shd w:val="clear" w:fill="1F3864"/>
            <w:vAlign w:val="center"/>
          </w:tcPr>
          <w:p>
            <w:pPr>
              <w:spacing w:before="20" w:after="20"/>
            </w:pPr>
            <w:r>
              <w:rPr>
                <w:b/>
                <w:color w:val="FFFFFF"/>
              </w:rPr>
              <w:t xml:space="preserve">Mitigation</w:t>
            </w:r>
          </w:p>
        </w:tc>
      </w:tr>
      <w:tr>
        <w:tc>
          <w:tcPr>
            <w:tcW w:w="3200" w:type="dxa"/>
            <w:vAlign w:val="center"/>
          </w:tcPr>
          <w:p>
            <w:pPr>
              <w:spacing w:before="20" w:after="20"/>
            </w:pPr>
            <w:r>
              <w:t xml:space="preserve">Honest-but-curious cloud</w:t>
            </w:r>
          </w:p>
        </w:tc>
        <w:tc>
          <w:tcPr>
            <w:tcW w:w="6160" w:type="dxa"/>
            <w:vAlign w:val="center"/>
          </w:tcPr>
          <w:p>
            <w:pPr>
              <w:spacing w:before="20" w:after="20"/>
            </w:pPr>
            <w:r>
              <w:t xml:space="preserve">Files are AES-encrypted before upload, so the cloud sees only ciphertext</w:t>
            </w:r>
          </w:p>
        </w:tc>
      </w:tr>
      <w:tr>
        <w:tc>
          <w:tcPr>
            <w:tcW w:w="3200" w:type="dxa"/>
            <w:vAlign w:val="center"/>
          </w:tcPr>
          <w:p>
            <w:pPr>
              <w:spacing w:before="20" w:after="20"/>
            </w:pPr>
            <w:r>
              <w:t xml:space="preserve">Insider at the application server</w:t>
            </w:r>
          </w:p>
        </w:tc>
        <w:tc>
          <w:tcPr>
            <w:tcW w:w="6160" w:type="dxa"/>
            <w:vAlign w:val="center"/>
          </w:tcPr>
          <w:p>
            <w:pPr>
              <w:spacing w:before="20" w:after="20"/>
            </w:pPr>
            <w:r>
              <w:t xml:space="preserve">The DEK is CP-ABE-wrapped; the server never holds a user’s secret key, and final decryption is client-side</w:t>
            </w:r>
          </w:p>
        </w:tc>
      </w:tr>
      <w:tr>
        <w:tc>
          <w:tcPr>
            <w:tcW w:w="3200" w:type="dxa"/>
            <w:vAlign w:val="center"/>
          </w:tcPr>
          <w:p>
            <w:pPr>
              <w:spacing w:before="20" w:after="20"/>
            </w:pPr>
            <w:r>
              <w:t xml:space="preserve">Collusion between users</w:t>
            </w:r>
          </w:p>
        </w:tc>
        <w:tc>
          <w:tcPr>
            <w:tcW w:w="6160" w:type="dxa"/>
            <w:vAlign w:val="center"/>
          </w:tcPr>
          <w:p>
            <w:pPr>
              <w:spacing w:before="20" w:after="20"/>
            </w:pPr>
            <w:r>
              <w:t xml:space="preserve">CP-ABE key randomisation prevents users from pooling keys</w:t>
            </w:r>
          </w:p>
        </w:tc>
      </w:tr>
      <w:tr>
        <w:tc>
          <w:tcPr>
            <w:tcW w:w="3200" w:type="dxa"/>
            <w:vAlign w:val="center"/>
          </w:tcPr>
          <w:p>
            <w:pPr>
              <w:spacing w:before="20" w:after="20"/>
            </w:pPr>
            <w:r>
              <w:t xml:space="preserve">Data tampering</w:t>
            </w:r>
          </w:p>
        </w:tc>
        <w:tc>
          <w:tcPr>
            <w:tcW w:w="6160" w:type="dxa"/>
            <w:vAlign w:val="center"/>
          </w:tcPr>
          <w:p>
            <w:pPr>
              <w:spacing w:before="20" w:after="20"/>
            </w:pPr>
            <w:r>
              <w:t xml:space="preserve">AES-GCM authentication tag, SHA-256, and RSA-PSS signature</w:t>
            </w:r>
          </w:p>
        </w:tc>
      </w:tr>
      <w:tr>
        <w:tc>
          <w:tcPr>
            <w:tcW w:w="3200" w:type="dxa"/>
            <w:vAlign w:val="center"/>
          </w:tcPr>
          <w:p>
            <w:pPr>
              <w:spacing w:before="20" w:after="20"/>
            </w:pPr>
            <w:r>
              <w:t xml:space="preserve">Revoked user attempting access</w:t>
            </w:r>
          </w:p>
        </w:tc>
        <w:tc>
          <w:tcPr>
            <w:tcW w:w="6160" w:type="dxa"/>
            <w:vAlign w:val="center"/>
          </w:tcPr>
          <w:p>
            <w:pPr>
              <w:spacing w:before="20" w:after="20"/>
            </w:pPr>
            <w:r>
              <w:t xml:space="preserve">Attribute versioning with lazy re-wrap, plus instant denial at the ABAC layer</w:t>
            </w:r>
          </w:p>
        </w:tc>
      </w:tr>
      <w:tr>
        <w:tc>
          <w:tcPr>
            <w:tcW w:w="3200" w:type="dxa"/>
            <w:vAlign w:val="center"/>
          </w:tcPr>
          <w:p>
            <w:pPr>
              <w:spacing w:before="20" w:after="20"/>
            </w:pPr>
            <w:r>
              <w:t xml:space="preserve">Future quantum adversary</w:t>
            </w:r>
          </w:p>
        </w:tc>
        <w:tc>
          <w:tcPr>
            <w:tcW w:w="6160" w:type="dxa"/>
            <w:vAlign w:val="center"/>
          </w:tcPr>
          <w:p>
            <w:pPr>
              <w:spacing w:before="20" w:after="20"/>
            </w:pPr>
            <w:r>
              <w:t xml:space="preserve">Documented as a risk; ML-KEM / lattice-based ABE noted as future work</w:t>
            </w:r>
          </w:p>
        </w:tc>
      </w:tr>
    </w:tbl>
    <w:p>
      <w:pPr>
        <w:pStyle w:val="Normal"/>
        <w:spacing w:after="0"/>
      </w:pPr>
      <w:r>
        <w:t xml:space="preserve"/>
      </w:r>
    </w:p>
    <w:p>
      <w:pPr>
        <w:pStyle w:val="Heading2"/>
        <w:keepNext/>
      </w:pPr>
      <w:r>
        <w:t xml:space="preserve">E. Verdict</w:t>
      </w:r>
    </w:p>
    <w:p>
      <w:pPr>
        <w:pStyle w:val="Normal"/>
      </w:pPr>
      <w:r>
        <w:t xml:space="preserve">Taken together, the project is technically, economically, and operationally feasible within a single semester using open-source tools and cloud free tiers. The single biggest risk is building and running Charm-Crypto; that risk is front-loaded into Week 1 with Docker, and a documented simulated-CP-ABE fallback is kept in reserve.</w:t>
      </w:r>
    </w:p>
    <w:p>
      <w:pPr>
        <w:pStyle w:val="Heading1"/>
        <w:keepNext/>
      </w:pPr>
      <w:r>
        <w:t xml:space="preserve">References</w:t>
      </w:r>
    </w:p>
    <w:p>
      <w:pPr>
        <w:pStyle w:val="Normal"/>
        <w:spacing w:after="60"/>
      </w:pPr>
      <w:r>
        <w:t xml:space="preserve">[1] N. Doshi et al., “Flexible revocation in ciphertext-policy attribute-based encryption with verifiable ciphertext delegation,” Multimedia Tools and Applications, 2022. https://link.springer.com/article/10.1007/s11042-022-13537-0</w:t>
      </w:r>
    </w:p>
    <w:p>
      <w:pPr>
        <w:pStyle w:val="Normal"/>
        <w:spacing w:after="60"/>
      </w:pPr>
      <w:r>
        <w:t xml:space="preserve">[2] “Puncturable ciphertext-policy attribute-based encryption scheme for efficient and flexible user revocation,” Science China Information Sciences, 2023. https://link.springer.com/article/10.1007/s11432-022-3585-9</w:t>
      </w:r>
    </w:p>
    <w:p>
      <w:pPr>
        <w:pStyle w:val="Normal"/>
        <w:spacing w:after="60"/>
      </w:pPr>
      <w:r>
        <w:t xml:space="preserve">[3] “A cloud-based enhanced CP-ABE framework for efficient user and attribute-level revocation,” Int. J. of Computers and Applications, 2023. https://www.tandfonline.com/doi/full/10.1080/1206212X.2023.2250149</w:t>
      </w:r>
    </w:p>
    <w:p>
      <w:pPr>
        <w:pStyle w:val="Normal"/>
        <w:spacing w:after="60"/>
      </w:pPr>
      <w:r>
        <w:t xml:space="preserve">[4] “A revocable attribute-based encryption EHR sharing scheme with multiple authorities in blockchain (MA-RABE),” Peer-to-Peer Networking and Applications, 2022. https://link.springer.com/doi/10.1007/s12083-022-01387-4</w:t>
      </w:r>
    </w:p>
    <w:p>
      <w:pPr>
        <w:pStyle w:val="Normal"/>
        <w:spacing w:after="60"/>
      </w:pPr>
      <w:r>
        <w:t xml:space="preserve">[5] “Blockchain-Based Multiple Authorities Attribute-Based Encryption for EHR Access Control,” Applied Sciences (MDPI), vol. 12, no. 21, 2022. https://www.mdpi.com/2076-3417/12/21/10812</w:t>
      </w:r>
    </w:p>
    <w:p>
      <w:pPr>
        <w:pStyle w:val="Normal"/>
        <w:spacing w:after="60"/>
      </w:pPr>
      <w:r>
        <w:t xml:space="preserve">[6] “Access control scheme based on blockchain and attribute-based searchable encryption in cloud environment,” Journal of Cloud Computing, 2023. https://link.springer.com/article/10.1186/s13677-023-00444-4</w:t>
      </w:r>
    </w:p>
    <w:p>
      <w:pPr>
        <w:pStyle w:val="Normal"/>
        <w:spacing w:after="60"/>
      </w:pPr>
      <w:r>
        <w:t xml:space="preserve">[7] “A structured review of lattice-based attribute-based encryption methods for post-quantum security,” Springer, 2024–26. https://link.springer.com/10.1007/s10791-026-09965-3</w:t>
      </w:r>
    </w:p>
    <w:p>
      <w:pPr>
        <w:pStyle w:val="Normal"/>
        <w:spacing w:after="60"/>
      </w:pPr>
      <w:r>
        <w:t xml:space="preserve">[8] “Blockchain-Enabled Lattice-Based Attribute-Based Searchable Encryption with Instant Revocation (BL-ABSE),” Electronics (MDPI), 2025. https://www.mdpi.com/2079-9292/15/11/2471</w:t>
      </w:r>
    </w:p>
    <w:p>
      <w:pPr>
        <w:pStyle w:val="Normal"/>
        <w:spacing w:after="60"/>
      </w:pPr>
      <w:r>
        <w:t xml:space="preserve">[9] “Performance and Storage Analysis of CRYSTALS-Kyber (ML-KEM) as a Post-Quantum Replacement for RSA and ECC,” arXiv, 2025. https://arxiv.org/html/2508.01694</w:t>
      </w:r>
    </w:p>
    <w:p>
      <w:pPr>
        <w:pStyle w:val="Normal"/>
        <w:spacing w:after="60"/>
      </w:pPr>
      <w:r>
        <w:t xml:space="preserve">[10] “RSA and AES Based Hybrid Encryption Technique for Enhancing Data Security in Cloud Computing,” 2023. https://www.researchgate.net/publication/375145532</w:t>
      </w:r>
    </w:p>
    <w:p>
      <w:pPr>
        <w:pStyle w:val="Normal"/>
        <w:spacing w:after="60"/>
      </w:pPr>
      <w:r>
        <w:t xml:space="preserve">[11] “A privacy-preserving cloud storage framework with hybrid encryption, homomorphic keyword search, and blockchain-based integrity verification,” Scientific Reports (Nature), 2026. https://www.nature.com/articles/s41598-026-48705-x</w:t>
      </w:r>
    </w:p>
    <w:p>
      <w:pPr>
        <w:pStyle w:val="Normal"/>
        <w:spacing w:after="60"/>
      </w:pPr>
      <w:r>
        <w:t xml:space="preserve">[12] “A hybrid ECC-AES encryption framework for secure and efficient cloud-based data protection,” Scientific Reports (Nature), 2025. https://www.nature.com/articles/s41598-025-01315-5</w:t>
      </w:r>
    </w:p>
    <w:p>
      <w:pPr>
        <w:pStyle w:val="Normal"/>
        <w:spacing w:after="60"/>
      </w:pPr>
      <w:r>
        <w:t xml:space="preserve">[13] A. Sahai and B. Waters, “Fuzzy Identity-Based Encryption,” EUROCRYPT, 2005.</w:t>
      </w:r>
    </w:p>
    <w:p>
      <w:pPr>
        <w:pStyle w:val="Normal"/>
        <w:spacing w:after="60"/>
      </w:pPr>
      <w:r>
        <w:t xml:space="preserve">[14] V. Goyal, O. Pandey, A. Sahai, and B. Waters, “Attribute-Based Encryption for Fine-Grained Access Control of Encrypted Data,” ACM CCS, 2006.</w:t>
      </w:r>
    </w:p>
    <w:p>
      <w:pPr>
        <w:pStyle w:val="Normal"/>
        <w:spacing w:after="60"/>
      </w:pPr>
      <w:r>
        <w:t xml:space="preserve">[15] J. Bethencourt, A. Sahai, and B. Waters, “Ciphertext-Policy Attribute-Based Encryption,” IEEE S&amp;P, 2007.</w:t>
      </w:r>
    </w:p>
    <w:p>
      <w:pPr>
        <w:pStyle w:val="Normal"/>
        <w:spacing w:after="60"/>
      </w:pPr>
      <w:r>
        <w:t xml:space="preserve">[16] B. Waters, “Ciphertext-Policy Attribute-Based Encryption: An Expressive, Efficient, and Provably Secure Realization,” PKC, 2011.</w:t>
      </w:r>
    </w:p>
    <w:p>
      <w:pPr>
        <w:pStyle w:val="Normal"/>
        <w:spacing w:after="60"/>
      </w:pPr>
      <w:r>
        <w:t xml:space="preserve">[17] A. Lewko and B. Waters, “Decentralizing Attribute-Based Encryption,” EUROCRYPT, 2011.</w:t>
      </w:r>
    </w:p>
    <w:p>
      <w:pPr>
        <w:pStyle w:val="Normal"/>
        <w:spacing w:after="60"/>
      </w:pPr>
      <w:r>
        <w:t xml:space="preserve">[18] V. C. Hu et al., “Guide to Attribute Based Access Control (ABAC) Definition and Considerations,” NIST SP 800-162, 2014.</w:t>
      </w:r>
    </w:p>
    <w:p>
      <w:pPr>
        <w:pStyle w:val="Normal"/>
        <w:spacing w:after="60"/>
      </w:pPr>
      <w:r>
        <w:t xml:space="preserve">[19] M. Green, S. Hohenberger, and B. Waters, “Outsourcing the Decryption of ABE Ciphertexts,” USENIX Security, 2011.</w:t>
      </w:r>
    </w:p>
    <w:p>
      <w:pPr>
        <w:pStyle w:val="Normal"/>
        <w:spacing w:after="60"/>
      </w:pPr>
      <w:r>
        <w:t xml:space="preserve">[20] J. A. Akinyele et al., “Charm: a framework for rapidly prototyping cryptosystems,” J. Cryptographic Engineering, 2013.</w:t>
      </w:r>
    </w:p>
    <w:p>
      <w:pPr>
        <w:pStyle w:val="Normal"/>
        <w:spacing w:after="60"/>
      </w:pPr>
      <w:r>
        <w:t xml:space="preserve">[21] National Institute of Standards and Technology, “Module-Lattice-Based Key-Encapsulation Mechanism Standard,” FIPS 203, 2024.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60" w:line="276" w:lineRule="auto"/>
      <w:jc w:val="both"/>
    </w:pPr>
    <w:rPr>
      <w:rFonts w:ascii="Calibri" w:hAnsi="Calibri" w:cs="Calibri"/>
      <w:sz w:val="22"/>
      <w:szCs w:val="22"/>
    </w:rPr>
  </w:style>
  <w:style w:type="paragraph" w:styleId="Title">
    <w:name w:val="Title"/>
    <w:basedOn w:val="Normal"/>
    <w:pPr>
      <w:spacing w:before="0" w:after="80" w:line="276" w:lineRule="auto"/>
      <w:keepNext/>
    </w:pPr>
    <w:rPr>
      <w:rFonts w:ascii="Calibri" w:hAnsi="Calibri" w:cs="Calibri"/>
      <w:b/>
      <w:color w:val="1F3864"/>
      <w:sz w:val="44"/>
      <w:szCs w:val="44"/>
    </w:rPr>
  </w:style>
  <w:style w:type="paragraph" w:styleId="Subtitle">
    <w:name w:val="Subtitle"/>
    <w:basedOn w:val="Normal"/>
    <w:pPr>
      <w:spacing w:before="0" w:after="40" w:line="276" w:lineRule="auto"/>
      <w:keepNext/>
    </w:pPr>
    <w:rPr>
      <w:rFonts w:ascii="Calibri" w:hAnsi="Calibri" w:cs="Calibri"/>
      <w:i/>
      <w:color w:val="404040"/>
      <w:sz w:val="24"/>
      <w:szCs w:val="24"/>
    </w:rPr>
  </w:style>
  <w:style w:type="paragraph" w:styleId="Heading1">
    <w:name w:val="heading 1"/>
    <w:basedOn w:val="Normal"/>
    <w:pPr>
      <w:spacing w:before="280" w:after="120" w:line="276" w:lineRule="auto"/>
      <w:keepNext/>
    </w:pPr>
    <w:rPr>
      <w:rFonts w:ascii="Calibri" w:hAnsi="Calibri" w:cs="Calibri"/>
      <w:b/>
      <w:color w:val="1F3864"/>
      <w:sz w:val="30"/>
      <w:szCs w:val="30"/>
    </w:rPr>
  </w:style>
  <w:style w:type="paragraph" w:styleId="Heading2">
    <w:name w:val="heading 2"/>
    <w:basedOn w:val="Normal"/>
    <w:pPr>
      <w:spacing w:before="200" w:after="100" w:line="276" w:lineRule="auto"/>
      <w:keepNext/>
    </w:pPr>
    <w:rPr>
      <w:rFonts w:ascii="Calibri" w:hAnsi="Calibri" w:cs="Calibri"/>
      <w:b/>
      <w:color w:val="2E74B5"/>
      <w:sz w:val="26"/>
      <w:szCs w:val="26"/>
    </w:rPr>
  </w:style>
  <w:style w:type="paragraph" w:styleId="Heading3">
    <w:name w:val="heading 3"/>
    <w:basedOn w:val="Normal"/>
    <w:pPr>
      <w:spacing w:before="160" w:after="80" w:line="276" w:lineRule="auto"/>
      <w:keepNext/>
    </w:pPr>
    <w:rPr>
      <w:rFonts w:ascii="Calibri" w:hAnsi="Calibri" w:cs="Calibri"/>
      <w:b/>
      <w:i/>
      <w:color w:val="404040"/>
      <w:sz w:val="23"/>
      <w:szCs w:val="23"/>
    </w:rPr>
  </w:style>
  <w:style w:type="paragraph" w:styleId="ListParagraph">
    <w:name w:val="List Paragraph"/>
    <w:basedOn w:val="Normal"/>
    <w:pPr>
      <w:ind w:left="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