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/>
        <w:t xml:space="preserve">Viva Preparation — Terminology &amp; Key Concepts</w:t>
      </w:r>
    </w:p>
    <w:p>
      <w:pPr>
        <w:pStyle w:val="Subtitle"/>
        <w:jc w:val="center"/>
      </w:pPr>
      <w:r>
        <w:rPr>
          <w:i/>
        </w:rPr>
        <w:t xml:space="preserve">Privacy-Preserving Secure Cloud Storage Using Hybrid Encryption and Attribute-Based Access Control</w:t>
      </w:r>
    </w:p>
    <w:p>
      <w:pPr>
        <w:pStyle w:val="Subtitle"/>
        <w:jc w:val="center"/>
      </w:pPr>
      <w:r>
        <w:rPr>
          <w:i/>
        </w:rPr>
        <w:t xml:space="preserve">Vansh Sharma · Kushagra Goyal · Geetanshi Singh · Himanshi Kumar  |  Department of Computer Science &amp; Engineering</w:t>
      </w:r>
    </w:p>
    <w:p>
      <w:pPr>
        <w:pStyle w:val="Heading1"/>
        <w:keepNext/>
      </w:pPr>
      <w:r>
        <w:rPr/>
        <w:t xml:space="preserve">1. The Project in Plain Words</w:t>
      </w:r>
    </w:p>
    <w:p>
      <w:pPr>
        <w:pStyle w:val="Normal"/>
      </w:pPr>
      <w:r>
        <w:rPr/>
        <w:t xml:space="preserve">We are building a cloud-storage system where files are encrypted on the user’s own device before they are uploaded, so the cloud provider only ever stores unreadable ciphertext. The right to decrypt a file is not granted to a named user but to anyone whose attributes (role, department, clearance, time, etc.) satisfy a policy attached to the file. This is achieved by combining three ideas: hybrid encryption (AES + RSA), attribute-based encryption (CP-ABE), and attribute-based access control (ABAC).</w:t>
      </w:r>
    </w:p>
    <w:p>
      <w:pPr>
        <w:pStyle w:val="Normal"/>
      </w:pPr>
      <w:r>
        <w:rPr>
          <w:i/>
        </w:rPr>
        <w:t xml:space="preserve">One-line answer for the panel: "A zero-trust, client-side-encrypted cloud storage framework that binds the ability to decrypt to a user’s attributes through CP-ABE, enforced by an ABAC policy engine, with efficient revocation and a path to post-quantum security."</w:t>
      </w:r>
    </w:p>
    <w:p>
      <w:pPr>
        <w:pStyle w:val="Heading1"/>
        <w:keepNext/>
      </w:pPr>
      <w:r>
        <w:rPr/>
        <w:t xml:space="preserve">2. Cryptography Terminology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tcW w:w="666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Meaning / Why it matters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Symmetric encryption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Same key encrypts and decrypts. Fast, good for large data. Example used: AES-256.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Asymmetric (public-key) encryption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key pair — public key encrypts, private key decrypts. Slower; good for small data such as keys. Example: RSA.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Hybrid encryption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Encrypt the bulk data with a fast symmetric cipher (AES), then encrypt (“wrap”) the small symmetric key with a public-key scheme (RSA/CP-ABE). Gives AES speed + RSA key-sharing. This is the core of our design.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AES-256-GCM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Advanced Encryption Standard, 256-bit key, Galois/Counter Mode. Encrypts the file AND produces an authentication tag that detects tampering. “GCM” = confidentiality + integrity together (authenticated encryption).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DEK (Data-Encryption Key)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 random 256-bit AES key generated per file to encrypt that file. We never store it in the clear — we wrap it. Only 32 bytes, so re-wrapping it is cheap.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Envelope encryption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 pattern of encrypting data with a DEK and then encrypting the DEK with another key. The wrapped DEK travels in an “envelope” beside the ciphertext.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RSA-OAEP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RSA with Optimal Asymmetric Encryption Padding — the secure padding scheme we use when wrapping the DEK under a user’s RSA public key (device binding).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RSA-PSS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RSA Probabilistic Signature Scheme — used to digitally sign data, giving authenticity and non-repudiation (proof of who created it).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SHA-256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cryptographic hash function producing a 256-bit fingerprint. Used for integrity checks and inside signatures.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Authentication tag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short value from AES-GCM that verifies the ciphertext was not altered. If a single bit changes, decryption fails.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Non-repudiation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signer cannot later deny having produced the data, because only they hold the signing private key.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Post-quantum cryptography (PQC)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Cryptography secure against future quantum computers. RSA/ECC would be broken by Shor’s algorithm; PQC schemes are not.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ML-KEM / CRYSTALS-Kyber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 NIST-standardised (FIPS 203, 2024) lattice-based Key-Encapsulation Mechanism. Our post-quantum-ready option to replace/augment RSA for key wrapping.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KEM (Key-Encapsulation Mechanism)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method to securely establish a shared symmetric key using public-key techniques; ML-KEM is a KEM.</w:t>
            </w:r>
          </w:p>
        </w:tc>
      </w:tr>
    </w:tbl>
    <w:p>
      <w:pPr>
        <w:pStyle w:val="Normal"/>
        <w:spacing w:after="0"/>
      </w:pPr>
      <w:r>
        <w:rPr/>
        <w:t xml:space="preserve"/>
      </w:r>
    </w:p>
    <w:p>
      <w:pPr>
        <w:pStyle w:val="Heading1"/>
        <w:keepNext/>
      </w:pPr>
      <w:r>
        <w:rPr/>
        <w:t xml:space="preserve">3. Attribute-Based Encryption (ABE) Terminology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tcW w:w="666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Meaning / Why it matters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ABE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Attribute-Based Encryption — decryption depends on attributes rather than on a specific recipient’s identity.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CP-ABE (the one we use)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Ciphertext-Policy ABE. The access policy (e.g., “Doctor AND Cardiology AND clearance≥3”) is embedded in the ciphertext; a user’s key carries their attributes. Decryption works only if attributes satisfy the policy. Owner decides who can read, without knowing recipients in advance.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KP-ABE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Key-Policy ABE — the opposite: the policy is in the user’s key and attributes are on the ciphertext. Less suited to owner-driven sharing, so we did not choose it.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Fuzzy IBE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Sahai &amp; Waters 2005 — the original idea that seeded ABE (threshold attribute matching).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Access structure / policy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 Boolean rule (AND / OR / threshold) over attributes that decides who can decrypt.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LSSS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Linear Secret Sharing Scheme — the mathematical way an access policy is encoded so the secret (key) can be reconstructed only if the policy is satisfied.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Bilinear pairing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special map e(g,g) on elliptic-curve groups that makes ABE math work. You don’t need the internals for viva — just: “ABE security rests on bilinear pairings and hardness assumptions like DBDH.”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DBDH assumption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Decisional Bilinear Diffie-Hellman — the hardness assumption under which CP-ABE is proven secure.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Collusion resistance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Two users cannot combine their separate attribute keys to decrypt something neither could alone. CP-ABE randomises keys per user to prevent this.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Key escrow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 weakness where a single authority knows every user’s key. A drawback of single-authority ABE that multi-authority schemes address.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Multi-authority ABE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Multiple independent authorities issue attribute keys, removing the single-point-of-trust. In our scope as future work.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Outsourced decryption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Green et al. 2011 — the heavy pairing math is done by the (untrusted) server using a transformation key, leaving the client only a light final step. Makes ABE usable on weak devices.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Transformation key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special key given to the server so it can partially decrypt without ever learning the plaintext or the user’s secret key.</w:t>
            </w:r>
          </w:p>
        </w:tc>
      </w:tr>
    </w:tbl>
    <w:p>
      <w:pPr>
        <w:pStyle w:val="Normal"/>
        <w:spacing w:after="0"/>
      </w:pPr>
      <w:r>
        <w:rPr/>
        <w:t xml:space="preserve"/>
      </w:r>
    </w:p>
    <w:p>
      <w:pPr>
        <w:pStyle w:val="Heading1"/>
        <w:keepNext/>
      </w:pPr>
      <w:r>
        <w:rPr/>
        <w:t xml:space="preserve">4. Access Control &amp; Systems Terminology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tcW w:w="666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Meaning / Why it matters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ABAC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Attribute-Based Access Control (NIST SP 800-162). Grants access by evaluating subject, object, action, and environment attributes — e.g., “cardiologist, this record, read, during working hours.”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RBAC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Role-Based Access Control — access by fixed roles only. Less expressive than ABAC; cannot easily express context like time or location.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PDP / PEP / PIP / PAP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 four ABAC components: Policy Decision Point (decides), Policy Enforcement Point (enforces), Policy Information Point (supplies attribute values), Policy Administration Point (manages policies).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Honest-but-curious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Threat model: the cloud follows the protocol correctly but may try to read data it stores. Our client-side encryption defeats this — it only sees ciphertext.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Zero-trust / client-side encryption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All encryption and final decryption happen on the client; the server is never trusted with plaintext or unwrapped keys.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Revocation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Removing a user’s access. Our approach: attribute/key versioning + lazy re-wrap of the 32-byte DEK, so files are never re-encrypted; ABAC also denies instantly.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Lazy re-encryption / re-wrap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Instead of re-encrypting everything immediately on revocation, we only re-wrap the small DEK the next time the file is accessed — cheap and scalable.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Presigned URL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temporary, signed link that lets a client upload/download directly to S3/Azure without exposing long-term credentials.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JWT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JSON Web Token — a signed token proving a user is authenticated on each API call.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REST API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 HTTP interface (built in Flask) through which clients talk to the backend.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Charm-Crypto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Python framework for rapidly prototyping pairing-based cryptography; we use it to implement CP-ABE (BSW07). Run inside Docker to tame build complexity.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BSW07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Bethencourt-Sahai-Waters 2007 — the specific CP-ABE construction we implement.</w:t>
            </w:r>
          </w:p>
        </w:tc>
      </w:tr>
    </w:tbl>
    <w:p>
      <w:pPr>
        <w:pStyle w:val="Normal"/>
        <w:spacing w:after="0"/>
      </w:pPr>
      <w:r>
        <w:rPr/>
        <w:t xml:space="preserve"/>
      </w:r>
    </w:p>
    <w:p>
      <w:pPr>
        <w:pStyle w:val="Heading1"/>
        <w:keepNext/>
      </w:pPr>
      <w:r>
        <w:rPr/>
        <w:t xml:space="preserve">5. Technology Stack (What runs where)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tcW w:w="7160" w:type="dxa"/>
            <w:shd w:val="clear" w:fill="1F386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Meaning / Why it matters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Languages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Python (crypto core + backend).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Cryptography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AES-256-GCM, RSA-OAEP, RSA-PSS, SHA-256; CP-ABE via Charm-Crypto; ML-KEM (Kyber) explored for post-quantum.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Backend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Flask REST API with JWT authentication and the ABAC policy engine (PDP/PEP/PIP/PAP).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Database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MongoDB — stores metadata: access policies, wrapped keys, key versions, audit log.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Object storage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AWS S3 or Azure Blob — stores the encrypted file objects, accessed via presigned URLs.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Containerisation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Docker — reproducible build of Charm-Crypto and the services.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Frontend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Minimal web client for upload / download / share / policy building (demo-level).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Evaluation</w:t>
            </w:r>
          </w:p>
        </w:tc>
        <w:tc>
          <w:tcPr>
            <w:tcW w:w="7160" w:type="dxa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Benchmark scripts measuring encryption, key-wrapping, and end-to-end latency vs file size and policy complexity.</w:t>
            </w:r>
          </w:p>
        </w:tc>
      </w:tr>
    </w:tbl>
    <w:p>
      <w:pPr>
        <w:pStyle w:val="Normal"/>
        <w:spacing w:after="0"/>
      </w:pPr>
      <w:r>
        <w:rPr/>
        <w:t xml:space="preserve"/>
      </w:r>
    </w:p>
    <w:p>
      <w:pPr>
        <w:pStyle w:val="Heading1"/>
        <w:keepNext/>
      </w:pPr>
      <w:r>
        <w:rPr/>
        <w:t xml:space="preserve">6. The Three-Tier Key Wrapping (Our Core Mechanism)</w:t>
      </w:r>
    </w:p>
    <w:p>
      <w:pPr>
        <w:pStyle w:val="Normal"/>
      </w:pPr>
      <w:r>
        <w:rPr/>
        <w:t xml:space="preserve">This is the single most likely diagram/idea the panel will probe. Explain it as three nested layers around the file: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Tier 0 (data)</w:t>
      </w:r>
      <w:r>
        <w:rPr/>
        <w:t xml:space="preserve"> — the file is encrypted with a random 256-bit DEK using AES-256-GCM.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Tier 1 (authorisation)</w:t>
      </w:r>
      <w:r>
        <w:rPr/>
        <w:t xml:space="preserve"> — the DEK is wrapped under a CP-ABE access policy — gives attribute-based authorisation (who, by attributes, may read).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Tier 2 (binding)</w:t>
      </w:r>
      <w:r>
        <w:rPr/>
        <w:t xml:space="preserve"> — the DEK is further wrapped under the recipient’s RSA-OAEP public key — gives device/user binding.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Tier 3 (integrity)</w:t>
      </w:r>
      <w:r>
        <w:rPr/>
        <w:t xml:space="preserve"> — SHA-256 + RSA-PSS signature over the package — gives integrity and non-repudiation.</w:t>
      </w:r>
    </w:p>
    <w:p>
      <w:pPr>
        <w:pStyle w:val="Normal"/>
      </w:pPr>
      <w:r>
        <w:rPr/>
        <w:t xml:space="preserve">Result stored: ciphertext + wrapped keys + signature. Revoking a user re-wraps only the DEK, never the file.</w:t>
      </w:r>
    </w:p>
    <w:p>
      <w:pPr>
        <w:pStyle w:val="Heading1"/>
        <w:keepNext/>
      </w:pPr>
      <w:r>
        <w:rPr/>
        <w:t xml:space="preserve">7. How the System Works (Flows)</w:t>
      </w:r>
    </w:p>
    <w:p>
      <w:pPr>
        <w:pStyle w:val="Normal"/>
      </w:pPr>
      <w:r>
        <w:rPr/>
        <w:t xml:space="preserve">Upload: generate DEK → AES-256-GCM encrypt file → wrap DEK under CP-ABE policy → optionally wrap under recipient RSA key → SHA-256 + RSA-PSS sign → store ciphertext in S3/Azure and metadata + wrapped keys + policy + version in MongoDB.</w:t>
      </w:r>
    </w:p>
    <w:p>
      <w:pPr>
        <w:pStyle w:val="Normal"/>
      </w:pPr>
      <w:r>
        <w:rPr/>
        <w:t xml:space="preserve">Download: authenticate via JWT → ABAC PDP checks subject/object/action/environment attributes → if allowed, server does outsourced CP-ABE transformation → client does the light final decryption to recover the DEK → AES-GCM decrypt + verify tag/signature.</w:t>
      </w:r>
    </w:p>
    <w:p>
      <w:pPr>
        <w:pStyle w:val="Normal"/>
      </w:pPr>
      <w:r>
        <w:rPr/>
        <w:t xml:space="preserve">Revocation: bump attribute/key version → lazily re-wrap the 32-byte DEK on next access (no file re-encryption) → ABAC denies the revoked user instantly in parallel.</w:t>
      </w:r>
    </w:p>
    <w:p>
      <w:pPr>
        <w:pStyle w:val="Heading1"/>
        <w:keepNext/>
      </w:pPr>
      <w:r>
        <w:rPr/>
        <w:t xml:space="preserve">8. Research Methodology, Gap &amp; Novelty</w:t>
      </w:r>
    </w:p>
    <w:p>
      <w:pPr>
        <w:pStyle w:val="Heading2"/>
        <w:keepNext/>
      </w:pPr>
      <w:r>
        <w:rPr/>
        <w:t xml:space="preserve">How we did our research</w:t>
      </w:r>
    </w:p>
    <w:p>
      <w:pPr>
        <w:pStyle w:val="Normal"/>
      </w:pPr>
      <w:r>
        <w:rPr/>
        <w:t xml:space="preserve">We surveyed the literature from the foundational works (Sahai-Waters 2005 through Akinyele 2013) up to recent 2021-onward papers on revocation, multi-authority ABE, searchable encryption, and lattice/post-quantum ABE. From this we synthesised the recurring tensions and unmet needs into a table of research gaps, ranked by priority and domain impact, and then selected three to target.</w:t>
      </w:r>
    </w:p>
    <w:p>
      <w:pPr>
        <w:pStyle w:val="Heading2"/>
        <w:keepNext/>
      </w:pPr>
      <w:r>
        <w:rPr/>
        <w:t xml:space="preserve">Research gaps we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Real-time revocation and key-update efficiency (Critical).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Scalability of multi-authority ABE (High).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Integrating post-quantum hybrid encryption (Critical).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Searchable encryption under ABE control (High).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Integrity verification without decryption, and secure deduplication (Medium).</w:t>
      </w:r>
    </w:p>
    <w:p>
      <w:pPr>
        <w:pStyle w:val="Heading2"/>
        <w:keepNext/>
      </w:pPr>
      <w:r>
        <w:rPr/>
        <w:t xml:space="preserve">The three gaps we target</w:t>
      </w:r>
    </w:p>
    <w:p>
      <w:pPr>
        <w:pStyle w:val="Normal"/>
      </w:pPr>
      <w:r>
        <w:rPr/>
        <w:t xml:space="preserve">(1) real-time revocation and key-update efficiency; (2) post-quantum readiness; (3) searchability alongside access control.</w:t>
      </w:r>
    </w:p>
    <w:p>
      <w:pPr>
        <w:pStyle w:val="Heading2"/>
        <w:keepNext/>
      </w:pPr>
      <w:r>
        <w:rPr/>
        <w:t xml:space="preserve">Our novelty /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Three-tier key wrapping (AES → CP-ABE → per-user RSA) giving both attribute authorisation and device binding.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Efficient revocation via attribute versioning + lazy re-wrap, backed by a measured cost model.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 defence-in-depth trust model combining fast ABAC revocation with unbypassable CP-ABE cryptographic enforcement.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Outsourced decryption to keep the client light; post-quantum readiness via ML-KEM/lattice ABE.</w:t>
      </w:r>
    </w:p>
    <w:p>
      <w:pPr>
        <w:pStyle w:val="Heading1"/>
        <w:keepNext/>
      </w:pPr>
      <w:r>
        <w:rPr/>
        <w:t xml:space="preserve">9. Likely Viva Questions &amp; Model Answers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Why hybrid encryption — why not just AES or just RSA?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AES is fast but everyone would need the same key (hard to share/revoke). RSA/CP-ABE can share keys securely but are far too slow for large files. Hybrid gets both: AES encrypts the file quickly, and the small AES key is wrapped with RSA/CP-ABE for secure, policy-based sharing.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Why CP-ABE instead of RBAC or plain IAM?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RBAC/IAM enforce access at the cloud layer and can express only coarse rules like “user X reads object Y.” They break if that layer is bypassed. CP-ABE enforces access cryptographically inside the data itself and expresses rich Boolean policies over attributes, so even the cloud cannot read without satisfying the policy.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Difference between CP-ABE and KP-ABE?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In CP-ABE the policy is in the ciphertext and attributes are in the key — the data owner controls who can read. In KP-ABE it is reversed. Owner-driven cloud sharing needs CP-ABE, which is why we chose it.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If CP-ABE already controls access, why also add ABAC?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Defence in depth. ABAC gives instant, context-aware revocation at the access layer but trusts that layer. CP-ABE cannot be bypassed even by the server but is computationally expensive. Combining them means ABAC handles the fast common path while CP-ABE guarantees confidentiality if the enforcement layer is ever compromised.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How do you revoke a user without re-encrypting every file?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We version attributes/keys and use lazy re-wrapping: only the 32-byte DEK is re-wrapped on the next access, never the large file. Meanwhile the ABAC layer denies the revoked user immediately.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What is the honest-but-curious model and how do you handle it?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The cloud follows the protocol but may peek at stored data. Because we encrypt client-side with AES before upload, the cloud only ever sees ciphertext, so curiosity gains nothing.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What is outsourced decryption and why use it?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The expensive pairing operations of ABE decryption are offloaded to the server via a transformation key, so a phone or browser only does a light final step. The server still never sees the plaintext or the user’s secret key.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How do you guarantee integrity and authenticity?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AES-GCM’s authentication tag detects any tampering of the ciphertext, SHA-256 provides a content fingerprint, and RSA-PSS signatures provide authenticity and non-repudiation of the uploader.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What makes the system post-quantum ready?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RSA would fall to Shor’s algorithm on a quantum computer. We evaluate replacing/augmenting RSA key-wrapping with ML-KEM (Kyber, NIST FIPS 203) and lattice-based ABE, which rely on LWE/Ring-LWE hardness believed secure against quantum attacks.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What is collusion resistance in CP-ABE?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Two users cannot pool their attribute keys to decrypt something neither could alone, because CP-ABE randomises each user’s key so their key components do not combine.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What is your main research gap and contribution?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The gap: no single system delivers fine-grained control, efficient revocation, post-quantum security and searchable encryption together. Our contribution centres on efficient revocation (attribute versioning + lazy re-wrap with a cost model) and a defence-in-depth CP-ABE + ABAC design, with a post-quantum path.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Why MongoDB, Flask, and S3/Azure specifically?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Flask is a lightweight Python framework that pairs naturally with our Python crypto core; MongoDB flexibly stores heterogeneous metadata (policies, wrapped keys, versions, audit log); S3/Azure are mature, scalable object stores with presigned-URL support and free tiers.</w:t>
      </w:r>
    </w:p>
    <w:p>
      <w:pPr>
        <w:pStyle w:val="Normal"/>
        <w:spacing w:after="20"/>
      </w:pPr>
      <w:r>
        <w:rPr>
          <w:b/>
          <w:color w:val="1F3864"/>
        </w:rPr>
        <w:t xml:space="preserve">Q.  </w:t>
      </w:r>
      <w:r>
        <w:rPr>
          <w:b/>
        </w:rPr>
        <w:t xml:space="preserve">What are the limitations / future work?</w:t>
      </w:r>
    </w:p>
    <w:p>
      <w:pPr>
        <w:pStyle w:val="Normal"/>
        <w:spacing w:after="140"/>
      </w:pPr>
      <w:r>
        <w:rPr>
          <w:b/>
          <w:color w:val="2E74B5"/>
        </w:rPr>
        <w:t xml:space="preserve">A.  </w:t>
      </w:r>
      <w:r>
        <w:rPr/>
        <w:t xml:space="preserve">Full production multi-authority ABE, a complete lattice-based ABE implementation, terabyte-scale encrypted keyword search, and a production-grade UI are out of scope and left as future work.</w:t>
      </w:r>
    </w:p>
    <w:sectPr>
      <w:pgSz w:w="12240" w:h="15840"/>
      <w:pgMar w:top="1080" w:right="1080" w:bottom="1080" w:left="108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default="1" w:styleId="Normal">
    <w:name w:val="Normal"/>
    <w:pPr>
      <w:spacing w:after="140" w:line="264" w:lineRule="auto"/>
      <w:jc w:val="both"/>
    </w:pPr>
    <w:rPr>
      <w:rFonts w:ascii="Calibri" w:hAnsi="Calibri" w:cs="Calibri"/>
      <w:sz w:val="21"/>
      <w:szCs w:val="21"/>
    </w:rPr>
  </w:style>
  <w:style w:type="paragraph" w:styleId="Title">
    <w:name w:val="Title"/>
    <w:basedOn w:val="Normal"/>
    <w:pPr>
      <w:spacing w:before="0" w:after="60" w:line="264" w:lineRule="auto"/>
      <w:keepNext/>
    </w:pPr>
    <w:rPr>
      <w:rFonts w:ascii="Calibri" w:hAnsi="Calibri" w:cs="Calibri"/>
      <w:b/>
      <w:color w:val="1F3864"/>
      <w:sz w:val="40"/>
      <w:szCs w:val="40"/>
    </w:rPr>
  </w:style>
  <w:style w:type="paragraph" w:styleId="Subtitle">
    <w:name w:val="Subtitle"/>
    <w:basedOn w:val="Normal"/>
    <w:pPr>
      <w:spacing w:before="0" w:after="40" w:line="264" w:lineRule="auto"/>
      <w:keepNext/>
    </w:pPr>
    <w:rPr>
      <w:rFonts w:ascii="Calibri" w:hAnsi="Calibri" w:cs="Calibri"/>
      <w:i/>
      <w:color w:val="404040"/>
      <w:sz w:val="22"/>
      <w:szCs w:val="22"/>
    </w:rPr>
  </w:style>
  <w:style w:type="paragraph" w:styleId="Heading1">
    <w:name w:val="heading 1"/>
    <w:basedOn w:val="Normal"/>
    <w:pPr>
      <w:spacing w:before="240" w:after="100" w:line="264" w:lineRule="auto"/>
      <w:keepNext/>
    </w:pPr>
    <w:rPr>
      <w:rFonts w:ascii="Calibri" w:hAnsi="Calibri" w:cs="Calibri"/>
      <w:b/>
      <w:color w:val="1F3864"/>
      <w:sz w:val="28"/>
      <w:szCs w:val="28"/>
    </w:rPr>
  </w:style>
  <w:style w:type="paragraph" w:styleId="Heading2">
    <w:name w:val="heading 2"/>
    <w:basedOn w:val="Normal"/>
    <w:pPr>
      <w:spacing w:before="140" w:after="60" w:line="264" w:lineRule="auto"/>
      <w:keepNext/>
    </w:pPr>
    <w:rPr>
      <w:rFonts w:ascii="Calibri" w:hAnsi="Calibri" w:cs="Calibri"/>
      <w:b/>
      <w:color w:val="2E74B5"/>
      <w:sz w:val="23"/>
      <w:szCs w:val="23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