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D3E2" w14:textId="77777777" w:rsidR="00023800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Privacy-Preserving Secure Cloud Storage Using Hybrid Encryption and Attribute-Based Access Control</w:t>
      </w:r>
    </w:p>
    <w:p w14:paraId="494043AB" w14:textId="77777777" w:rsidR="00023800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Vansh Sharma · Kushagra Goyal ·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Geetanshi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Singh · Himanshi Kumar</w:t>
      </w:r>
    </w:p>
    <w:p w14:paraId="4170C44C" w14:textId="77777777" w:rsidR="00023800" w:rsidRDefault="00000000">
      <w:pPr>
        <w:spacing w:after="320"/>
        <w:jc w:val="center"/>
      </w:pPr>
      <w:r>
        <w:rPr>
          <w:rFonts w:ascii="Calibri" w:eastAsia="Calibri" w:hAnsi="Calibri" w:cs="Calibri"/>
          <w:color w:val="555555"/>
        </w:rPr>
        <w:t>Department of Computer Science &amp; Engineering</w:t>
      </w:r>
    </w:p>
    <w:p w14:paraId="1E2774E6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I. Problem Definition</w:t>
      </w:r>
    </w:p>
    <w:p w14:paraId="6ABC547F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Context</w:t>
      </w:r>
    </w:p>
    <w:p w14:paraId="56028E23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More and more organisations are putting sensitive material — health records, financial documents, government files — onto third-party platforms like AWS S3 or Azure Blob. That decision brings with it three structural weaknesses.</w:t>
      </w:r>
    </w:p>
    <w:p w14:paraId="3B13B42D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First, the provider holds the keys. “Encryption at rest” as offered by services such as SSE-S3 or SSE-KMS uses keys the cloud provider itself controls, which means a malicious insider, a subpoena, or a compromised control plane can all read the plaintext. The provider is, at best, honest-but-curious.</w:t>
      </w:r>
    </w:p>
    <w:p w14:paraId="7DF3E58E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Second, access control tends to be coarse and is enforced by the cloud layer rather than by the data itself. IAM policies and ACLs are good at saying “user X may read object Y,” but they cannot naturally express something like “any cardiologist in the Delhi branch with clearance level 3 or higher, during working hours.” And if that enforcement layer is ever bypassed, the plaintext is simply there for the taking.</w:t>
      </w:r>
    </w:p>
    <w:p w14:paraId="10BA762B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Third, sharing tends to break confidentiality. Once a file needs to go to many users, an organisation is left choosing between distributing the raw key — which makes revocation effectively impossible — or re-encrypting a separate copy for every recipient, which does not scale.</w:t>
      </w:r>
    </w:p>
    <w:p w14:paraId="5C541394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B. Core Problem Statement</w:t>
      </w:r>
    </w:p>
    <w:p w14:paraId="20800B4E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 simple terms, organisations struggle to have strong, flexible access control, efficient key management, quick revocation, post-quantum security, and searchable encrypted data all at the same time without compromising security, performance, or ease of use.</w:t>
      </w:r>
    </w:p>
    <w:p w14:paraId="6B3E7072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C. The Fundamental Tension</w:t>
      </w:r>
    </w:p>
    <w:p w14:paraId="556CBFB2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Four recurring tensions came out of the literature we surveyed:</w:t>
      </w:r>
    </w:p>
    <w:p w14:paraId="4802FA49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Fine-grained control versus computational cost — single-authority ABE schemes tend to suffer from key escrow, heavy overhead, and clumsy revocation.</w:t>
      </w:r>
    </w:p>
    <w:p w14:paraId="3548AE91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Real-time response versus batch processing — most existing schemes only update keys periodically, which leaves a dangerous window open in fast-moving environments such as IoT or connected vehicles.</w:t>
      </w:r>
    </w:p>
    <w:p w14:paraId="405DC7AB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Centralised trust versus decentralised resilience — many designs still lean on classical assumptions, a single trusted authority, and access policies that don’t change dynamically.</w:t>
      </w:r>
    </w:p>
    <w:p w14:paraId="68C1C08A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Regulatory compliance versus practical performance — traditional access-control models struggle to keep up with multi-tenant, constantly shifting cloud infrastructure handling sensitive data.</w:t>
      </w:r>
    </w:p>
    <w:p w14:paraId="6C044AAB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II. Literature Survey</w:t>
      </w:r>
    </w:p>
    <w:p w14:paraId="7BB16878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Current State of Research</w:t>
      </w:r>
    </w:p>
    <w:p w14:paraId="6001C897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Hybrid cryptography — pairing AES with RSA or ECC — is by now a mature, well-understood approach. Attribute-based encryption has become something close to the standard answer for fine-grained access control in cloud settings, and blockchain is increasingly being explored as a way to decentralise key management and keep tamper-evident audit trails. Several deployments of these ideas have already been reported in healthcare, IoT, and financial contexts.</w:t>
      </w:r>
    </w:p>
    <w:p w14:paraId="3F793294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B. Foundational Literature</w:t>
      </w:r>
    </w:p>
    <w:p w14:paraId="27963CEC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I. Foundational Works Surveyed</w:t>
      </w:r>
    </w:p>
    <w:tbl>
      <w:tblPr>
        <w:tblStyle w:val="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3600"/>
        <w:gridCol w:w="5400"/>
      </w:tblGrid>
      <w:tr w:rsidR="00023800" w14:paraId="51A733F5" w14:textId="77777777">
        <w:trPr>
          <w:tblHeader/>
        </w:trPr>
        <w:tc>
          <w:tcPr>
            <w:tcW w:w="6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49ABE574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36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628E6410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Work</w:t>
            </w:r>
          </w:p>
        </w:tc>
        <w:tc>
          <w:tcPr>
            <w:tcW w:w="54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0BA19A40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Contribution</w:t>
            </w:r>
          </w:p>
        </w:tc>
      </w:tr>
      <w:tr w:rsidR="00023800" w14:paraId="70094A73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16812C60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49027B4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Sahai &amp; Waters, EUROCRYPT 2005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59501382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Fuzzy IBE; the origin point of ABE</w:t>
            </w:r>
          </w:p>
        </w:tc>
      </w:tr>
      <w:tr w:rsidR="00023800" w14:paraId="46D78A5B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2F7A1105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8EBAE60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Goyal et al., CCS 2006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048D969C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Key-policy ABE (KP-ABE)</w:t>
            </w:r>
          </w:p>
        </w:tc>
      </w:tr>
      <w:tr w:rsidR="00023800" w14:paraId="68886B58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55E39AED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7BB5615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Bethencourt, Sahai &amp; Waters, IEEE S&amp;P 2007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08E23142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CP-ABE — the scheme implemented in this project</w:t>
            </w:r>
          </w:p>
        </w:tc>
      </w:tr>
      <w:tr w:rsidR="00023800" w14:paraId="62666359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548AFBEA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2EF1DE4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Waters, PKC 2011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5A5AA485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LSSS-based CP-ABE in the standard model</w:t>
            </w:r>
          </w:p>
        </w:tc>
      </w:tr>
      <w:tr w:rsidR="00023800" w14:paraId="7A4A66C6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0CFE2FCB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E7C25C9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Lewko &amp; Waters, EUROCRYPT 2011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4BC25BD9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Multi-authority ABE</w:t>
            </w:r>
          </w:p>
        </w:tc>
      </w:tr>
      <w:tr w:rsidR="00023800" w14:paraId="0F7779F5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1355BD0F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B429721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NIST SP 800-162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24ACAD0C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Definition of and considerations for ABAC</w:t>
            </w:r>
          </w:p>
        </w:tc>
      </w:tr>
      <w:tr w:rsidR="00023800" w14:paraId="4CF8A873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758E6240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25C1E91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Green et al., USENIX Sec. 2011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530DA17A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Outsourced decryption of ABE ciphertexts</w:t>
            </w:r>
          </w:p>
        </w:tc>
      </w:tr>
      <w:tr w:rsidR="00023800" w14:paraId="06E2EFCD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7A632987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93D1382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Akinyele et al., JCEN 2013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4722389E" w14:textId="77777777" w:rsidR="00023800" w:rsidRDefault="00000000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Charm prototyping framework</w:t>
            </w:r>
          </w:p>
        </w:tc>
      </w:tr>
    </w:tbl>
    <w:p w14:paraId="4B163C40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C. Identified Research Gaps</w:t>
      </w:r>
    </w:p>
    <w:p w14:paraId="2F12469B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II. Research Gaps from Literature Synthesis</w:t>
      </w:r>
    </w:p>
    <w:tbl>
      <w:tblPr>
        <w:tblStyle w:val="a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3400"/>
        <w:gridCol w:w="3200"/>
        <w:gridCol w:w="1800"/>
      </w:tblGrid>
      <w:tr w:rsidR="00023800" w14:paraId="1D7B784A" w14:textId="77777777">
        <w:trPr>
          <w:tblHeader/>
        </w:trPr>
        <w:tc>
          <w:tcPr>
            <w:tcW w:w="6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6B2B7C9A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#</w:t>
            </w:r>
          </w:p>
        </w:tc>
        <w:tc>
          <w:tcPr>
            <w:tcW w:w="34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7E58070B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Research Gap</w:t>
            </w:r>
          </w:p>
        </w:tc>
        <w:tc>
          <w:tcPr>
            <w:tcW w:w="32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12132ECE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Domain Impact</w:t>
            </w:r>
          </w:p>
        </w:tc>
        <w:tc>
          <w:tcPr>
            <w:tcW w:w="18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04F7476B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</w:tr>
      <w:tr w:rsidR="00023800" w14:paraId="1F511635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24C26D00" w14:textId="77777777" w:rsidR="00023800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51DC62BB" w14:textId="77777777" w:rsidR="00023800" w:rsidRDefault="00000000">
            <w:r>
              <w:rPr>
                <w:rFonts w:ascii="Calibri" w:eastAsia="Calibri" w:hAnsi="Calibri" w:cs="Calibri"/>
              </w:rPr>
              <w:t>Real-time revocation and key-update efficiency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0EC46F96" w14:textId="77777777" w:rsidR="00023800" w:rsidRDefault="00000000">
            <w:r>
              <w:rPr>
                <w:rFonts w:ascii="Calibri" w:eastAsia="Calibri" w:hAnsi="Calibri" w:cs="Calibri"/>
              </w:rPr>
              <w:t xml:space="preserve">Enterprise, healthcare, </w:t>
            </w:r>
            <w:proofErr w:type="spellStart"/>
            <w:r>
              <w:rPr>
                <w:rFonts w:ascii="Calibri" w:eastAsia="Calibri" w:hAnsi="Calibri" w:cs="Calibri"/>
              </w:rPr>
              <w:t>IoV</w:t>
            </w:r>
            <w:proofErr w:type="spellEnd"/>
            <w:r>
              <w:rPr>
                <w:rFonts w:ascii="Calibri" w:eastAsia="Calibri" w:hAnsi="Calibri" w:cs="Calibri"/>
              </w:rPr>
              <w:t>/IoT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20F98431" w14:textId="77777777" w:rsidR="00023800" w:rsidRDefault="00000000">
            <w:r>
              <w:rPr>
                <w:rFonts w:ascii="Calibri" w:eastAsia="Calibri" w:hAnsi="Calibri" w:cs="Calibri"/>
              </w:rPr>
              <w:t>Critical</w:t>
            </w:r>
          </w:p>
        </w:tc>
      </w:tr>
      <w:tr w:rsidR="00023800" w14:paraId="6A4E671B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04CDB0E5" w14:textId="77777777" w:rsidR="00023800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6207F929" w14:textId="77777777" w:rsidR="00023800" w:rsidRDefault="00000000">
            <w:r>
              <w:rPr>
                <w:rFonts w:ascii="Calibri" w:eastAsia="Calibri" w:hAnsi="Calibri" w:cs="Calibri"/>
              </w:rPr>
              <w:t>Scalability of multi-authority ABE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66EE8E08" w14:textId="77777777" w:rsidR="00023800" w:rsidRDefault="00000000">
            <w:r>
              <w:rPr>
                <w:rFonts w:ascii="Calibri" w:eastAsia="Calibri" w:hAnsi="Calibri" w:cs="Calibri"/>
              </w:rPr>
              <w:t>Federated healthcare, consortia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68CBB793" w14:textId="77777777" w:rsidR="00023800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023800" w14:paraId="45B4C7D6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5CD65571" w14:textId="77777777" w:rsidR="00023800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2598B9B4" w14:textId="77777777" w:rsidR="00023800" w:rsidRDefault="00000000">
            <w:r>
              <w:rPr>
                <w:rFonts w:ascii="Calibri" w:eastAsia="Calibri" w:hAnsi="Calibri" w:cs="Calibri"/>
              </w:rPr>
              <w:t>Integrating post-quantum hybrid encryption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6F18E636" w14:textId="77777777" w:rsidR="00023800" w:rsidRDefault="00000000">
            <w:r>
              <w:rPr>
                <w:rFonts w:ascii="Calibri" w:eastAsia="Calibri" w:hAnsi="Calibri" w:cs="Calibri"/>
              </w:rPr>
              <w:t>Long-horizon compliance systems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29448BD2" w14:textId="77777777" w:rsidR="00023800" w:rsidRDefault="00000000">
            <w:r>
              <w:rPr>
                <w:rFonts w:ascii="Calibri" w:eastAsia="Calibri" w:hAnsi="Calibri" w:cs="Calibri"/>
              </w:rPr>
              <w:t>Critical</w:t>
            </w:r>
          </w:p>
        </w:tc>
      </w:tr>
      <w:tr w:rsidR="00023800" w14:paraId="233B6429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436340B2" w14:textId="77777777" w:rsidR="00023800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51B5D257" w14:textId="77777777" w:rsidR="00023800" w:rsidRDefault="00000000">
            <w:r>
              <w:rPr>
                <w:rFonts w:ascii="Calibri" w:eastAsia="Calibri" w:hAnsi="Calibri" w:cs="Calibri"/>
              </w:rPr>
              <w:t>Searchable encryption under ABE control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4753401A" w14:textId="77777777" w:rsidR="00023800" w:rsidRDefault="00000000">
            <w:r>
              <w:rPr>
                <w:rFonts w:ascii="Calibri" w:eastAsia="Calibri" w:hAnsi="Calibri" w:cs="Calibri"/>
              </w:rPr>
              <w:t>Healthcare and finance search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5FCEFFE2" w14:textId="77777777" w:rsidR="00023800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</w:tr>
      <w:tr w:rsidR="00023800" w14:paraId="5C08479C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387E3151" w14:textId="77777777" w:rsidR="00023800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5C36C1A6" w14:textId="77777777" w:rsidR="00023800" w:rsidRDefault="00000000">
            <w:r>
              <w:rPr>
                <w:rFonts w:ascii="Calibri" w:eastAsia="Calibri" w:hAnsi="Calibri" w:cs="Calibri"/>
              </w:rPr>
              <w:t>Integrity verification without decryption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3BAFD33F" w14:textId="77777777" w:rsidR="00023800" w:rsidRDefault="00000000">
            <w:r>
              <w:rPr>
                <w:rFonts w:ascii="Calibri" w:eastAsia="Calibri" w:hAnsi="Calibri" w:cs="Calibri"/>
              </w:rPr>
              <w:t>Regulated cloud storage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6347FED6" w14:textId="77777777" w:rsidR="00023800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</w:tr>
      <w:tr w:rsidR="00023800" w14:paraId="43121E71" w14:textId="77777777">
        <w:tc>
          <w:tcPr>
            <w:tcW w:w="600" w:type="dxa"/>
            <w:tcMar>
              <w:top w:w="0" w:type="dxa"/>
              <w:bottom w:w="0" w:type="dxa"/>
            </w:tcMar>
            <w:vAlign w:val="center"/>
          </w:tcPr>
          <w:p w14:paraId="44B00CC7" w14:textId="77777777" w:rsidR="00023800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400" w:type="dxa"/>
            <w:tcMar>
              <w:top w:w="0" w:type="dxa"/>
              <w:bottom w:w="0" w:type="dxa"/>
            </w:tcMar>
            <w:vAlign w:val="center"/>
          </w:tcPr>
          <w:p w14:paraId="30E717B8" w14:textId="77777777" w:rsidR="00023800" w:rsidRDefault="00000000">
            <w:r>
              <w:rPr>
                <w:rFonts w:ascii="Calibri" w:eastAsia="Calibri" w:hAnsi="Calibri" w:cs="Calibri"/>
              </w:rPr>
              <w:t>Secure deduplication under ABE policies</w:t>
            </w:r>
          </w:p>
        </w:tc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2C85B720" w14:textId="77777777" w:rsidR="00023800" w:rsidRDefault="00000000">
            <w:r>
              <w:rPr>
                <w:rFonts w:ascii="Calibri" w:eastAsia="Calibri" w:hAnsi="Calibri" w:cs="Calibri"/>
              </w:rPr>
              <w:t>Multi-tenant cloud providers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  <w:vAlign w:val="center"/>
          </w:tcPr>
          <w:p w14:paraId="20CF12D4" w14:textId="77777777" w:rsidR="00023800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</w:tr>
    </w:tbl>
    <w:p w14:paraId="29269D35" w14:textId="77777777" w:rsidR="00023800" w:rsidRDefault="00023800">
      <w:pPr>
        <w:pStyle w:val="Heading2"/>
        <w:spacing w:before="240" w:after="120"/>
        <w:rPr>
          <w:color w:val="000000"/>
        </w:rPr>
      </w:pPr>
    </w:p>
    <w:p w14:paraId="4969D105" w14:textId="77777777" w:rsidR="00023800" w:rsidRDefault="00023800">
      <w:pPr>
        <w:pStyle w:val="Heading2"/>
        <w:spacing w:before="240" w:after="120"/>
        <w:rPr>
          <w:color w:val="000000"/>
        </w:rPr>
      </w:pPr>
    </w:p>
    <w:p w14:paraId="7B8493B1" w14:textId="77777777" w:rsidR="00023800" w:rsidRDefault="00023800">
      <w:pPr>
        <w:pStyle w:val="Heading2"/>
        <w:spacing w:before="240" w:after="120"/>
        <w:rPr>
          <w:color w:val="000000"/>
        </w:rPr>
      </w:pPr>
    </w:p>
    <w:p w14:paraId="2822D634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lastRenderedPageBreak/>
        <w:t>D. Priority Gaps Targeted</w:t>
      </w:r>
    </w:p>
    <w:p w14:paraId="5B8047C1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Out of that list, this project focuses on three: real-time revocation and key-update efficiency, since it is the most pressing operational gap; post-quantum readiness, because compliance horizons of ten to thirty years make it the highest-impact item in the long run; and searchability alongside access control, which remains one of the main usability obstacles for systems that are encrypted by default.</w:t>
      </w:r>
    </w:p>
    <w:p w14:paraId="634DA029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III. Objectives</w:t>
      </w:r>
    </w:p>
    <w:p w14:paraId="3406380F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Primary Objective</w:t>
      </w:r>
    </w:p>
    <w:p w14:paraId="6DA17841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The primary goal is to design, build, and evaluate a privacy-preserving cloud storage framework in which files are encrypted before they ever leave the client — using hybrid AES-256-GCM and RSA-OAEP — and in which the ability to decrypt is tied to a user’s attributes through CP-ABE, with NIST SP 800-162 ABAC enforcement layered on top.</w:t>
      </w:r>
    </w:p>
    <w:p w14:paraId="668F4986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B. Specific Objectives</w:t>
      </w:r>
    </w:p>
    <w:p w14:paraId="220499E2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Confidentiality (O1) — encrypt every file with AES-256-GCM so that the cloud only ever sees opaque ciphertext.</w:t>
      </w:r>
    </w:p>
    <w:p w14:paraId="259044C6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Cryptographic authorization (O2) — wrap each file’s data-encryption key under a CP-ABE access policy, so only users whose attributes satisfy that policy can ever recover it.</w:t>
      </w:r>
    </w:p>
    <w:p w14:paraId="2AAB3952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Context-aware enforcement (O3) — add an ABAC policy decision and enforcement layer that reasons over subject, object, action, and environment attributes.</w:t>
      </w:r>
    </w:p>
    <w:p w14:paraId="05C2CD05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Efficient revocation (O4) — use attribute and key versioning with lazy re-wrapping, so that revoking a user never requires re-encrypting the underlying files.</w:t>
      </w:r>
    </w:p>
    <w:p w14:paraId="1D3FDE35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Integrity and authenticity (O5) — guarantee tamper detection through the GCM tag and SHA-256, and non-repudiation through RSA-PSS signatures.</w:t>
      </w:r>
    </w:p>
    <w:p w14:paraId="363C633B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Evaluation (O6) — benchmark encryption, key-wrapping, and end-to-end latency as file size and policy complexity change.</w:t>
      </w:r>
    </w:p>
    <w:p w14:paraId="45B7AF51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Publishable contribution (O7) — demonstrate at least one genuinely novel angle that moves one of the documented research gaps forward.</w:t>
      </w:r>
    </w:p>
    <w:p w14:paraId="32CD8AF2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IV. Scope</w:t>
      </w:r>
    </w:p>
    <w:p w14:paraId="12583B8F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In Scope</w:t>
      </w:r>
    </w:p>
    <w:p w14:paraId="5DF1A807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Using a combination of AES-256-GCM and RSA-OAEP to securely encrypt files and protect the encryption keys.</w:t>
      </w:r>
    </w:p>
    <w:p w14:paraId="1AC7EE89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CP-ABE (the BSW07 construction) implemented via Charm-Crypto for attribute-based key wrapping.</w:t>
      </w:r>
    </w:p>
    <w:p w14:paraId="0316B705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An ABAC policy engine — PDP, PEP, PIP, and PAP — built in Flask.</w:t>
      </w:r>
    </w:p>
    <w:p w14:paraId="1977E59A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MongoDB for metadata, with AWS S3 or Azure Blob as the object store.</w:t>
      </w:r>
    </w:p>
    <w:p w14:paraId="27B013ED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Attribute-versioning-based revocation with an audit log.</w:t>
      </w:r>
    </w:p>
    <w:p w14:paraId="28F92073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 working healthcare-records use case, plus a performance evaluation suite.</w:t>
      </w:r>
    </w:p>
    <w:p w14:paraId="785E9BD7" w14:textId="77777777" w:rsidR="00023800" w:rsidRDefault="00023800">
      <w:pPr>
        <w:spacing w:after="100"/>
      </w:pPr>
    </w:p>
    <w:p w14:paraId="608D6C8F" w14:textId="77777777" w:rsidR="00023800" w:rsidRDefault="00023800">
      <w:pPr>
        <w:spacing w:after="100"/>
      </w:pPr>
    </w:p>
    <w:p w14:paraId="2C8A81B1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B. Out of Scope</w:t>
      </w:r>
    </w:p>
    <w:p w14:paraId="589E31AD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Full production-scale multi-authority ABE (left as future work).</w:t>
      </w:r>
    </w:p>
    <w:p w14:paraId="47E49389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 complete post-quantum lattice-based ABE implementation (discussed, and optionally prototyped in a limited form).</w:t>
      </w:r>
    </w:p>
    <w:p w14:paraId="26FCD8DF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Encrypted keyword search at multi-terabyte scale (future work).</w:t>
      </w:r>
    </w:p>
    <w:p w14:paraId="4D189E48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 production-grade UI — the frontend is intended as a functional, minimal client rather than a polished product.</w:t>
      </w:r>
    </w:p>
    <w:p w14:paraId="447CFDA2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C. Product Development Scope</w:t>
      </w:r>
    </w:p>
    <w:p w14:paraId="0A1B02A7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III. Deliverables and Prototype Maturity</w:t>
      </w:r>
    </w:p>
    <w:tbl>
      <w:tblPr>
        <w:tblStyle w:val="a1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5100"/>
        <w:gridCol w:w="2300"/>
      </w:tblGrid>
      <w:tr w:rsidR="00023800" w14:paraId="78DE5AAA" w14:textId="77777777">
        <w:trPr>
          <w:tblHeader/>
        </w:trPr>
        <w:tc>
          <w:tcPr>
            <w:tcW w:w="22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49416921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Layer</w:t>
            </w:r>
          </w:p>
        </w:tc>
        <w:tc>
          <w:tcPr>
            <w:tcW w:w="51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6D6AF41F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Deliverable</w:t>
            </w:r>
          </w:p>
        </w:tc>
        <w:tc>
          <w:tcPr>
            <w:tcW w:w="23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3B2440FF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Maturity</w:t>
            </w:r>
          </w:p>
        </w:tc>
      </w:tr>
      <w:tr w:rsidR="00023800" w14:paraId="5E745643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05491868" w14:textId="77777777" w:rsidR="00023800" w:rsidRDefault="00000000">
            <w:r>
              <w:rPr>
                <w:rFonts w:ascii="Calibri" w:eastAsia="Calibri" w:hAnsi="Calibri" w:cs="Calibri"/>
              </w:rPr>
              <w:t>Crypto core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603A0FF1" w14:textId="77777777" w:rsidR="00023800" w:rsidRDefault="00000000">
            <w:r>
              <w:rPr>
                <w:rFonts w:ascii="Calibri" w:eastAsia="Calibri" w:hAnsi="Calibri" w:cs="Calibri"/>
              </w:rPr>
              <w:t>AES/RSA/CP-ABE hybrid module with tests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2E82794D" w14:textId="77777777" w:rsidR="00023800" w:rsidRDefault="00000000">
            <w:r>
              <w:rPr>
                <w:rFonts w:ascii="Calibri" w:eastAsia="Calibri" w:hAnsi="Calibri" w:cs="Calibri"/>
              </w:rPr>
              <w:t>Fully working</w:t>
            </w:r>
          </w:p>
        </w:tc>
      </w:tr>
      <w:tr w:rsidR="00023800" w14:paraId="2DAFE5F7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301E39A2" w14:textId="77777777" w:rsidR="00023800" w:rsidRDefault="00000000">
            <w:r>
              <w:rPr>
                <w:rFonts w:ascii="Calibri" w:eastAsia="Calibri" w:hAnsi="Calibri" w:cs="Calibri"/>
              </w:rPr>
              <w:t>Backend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1295C7E8" w14:textId="77777777" w:rsidR="00023800" w:rsidRDefault="00000000">
            <w:r>
              <w:rPr>
                <w:rFonts w:ascii="Calibri" w:eastAsia="Calibri" w:hAnsi="Calibri" w:cs="Calibri"/>
              </w:rPr>
              <w:t>Flask REST API with JWT and ABAC PDP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1722D0C5" w14:textId="77777777" w:rsidR="00023800" w:rsidRDefault="00000000">
            <w:r>
              <w:rPr>
                <w:rFonts w:ascii="Calibri" w:eastAsia="Calibri" w:hAnsi="Calibri" w:cs="Calibri"/>
              </w:rPr>
              <w:t>Fully working</w:t>
            </w:r>
          </w:p>
        </w:tc>
      </w:tr>
      <w:tr w:rsidR="00023800" w14:paraId="541F9A42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50160ABF" w14:textId="77777777" w:rsidR="00023800" w:rsidRDefault="00000000">
            <w:r>
              <w:rPr>
                <w:rFonts w:ascii="Calibri" w:eastAsia="Calibri" w:hAnsi="Calibri" w:cs="Calibri"/>
              </w:rPr>
              <w:t>Storage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78A72F4E" w14:textId="77777777" w:rsidR="00023800" w:rsidRDefault="00000000">
            <w:r>
              <w:rPr>
                <w:rFonts w:ascii="Calibri" w:eastAsia="Calibri" w:hAnsi="Calibri" w:cs="Calibri"/>
              </w:rPr>
              <w:t>S3/Azure adapter with MongoDB metadata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40CEAF15" w14:textId="77777777" w:rsidR="00023800" w:rsidRDefault="00000000">
            <w:r>
              <w:rPr>
                <w:rFonts w:ascii="Calibri" w:eastAsia="Calibri" w:hAnsi="Calibri" w:cs="Calibri"/>
              </w:rPr>
              <w:t>Fully working</w:t>
            </w:r>
          </w:p>
        </w:tc>
      </w:tr>
      <w:tr w:rsidR="00023800" w14:paraId="7E60A90A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5B6DC9D0" w14:textId="77777777" w:rsidR="00023800" w:rsidRDefault="00000000">
            <w:r>
              <w:rPr>
                <w:rFonts w:ascii="Calibri" w:eastAsia="Calibri" w:hAnsi="Calibri" w:cs="Calibri"/>
              </w:rPr>
              <w:t>Revocation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1DE429B9" w14:textId="77777777" w:rsidR="00023800" w:rsidRDefault="00000000">
            <w:r>
              <w:rPr>
                <w:rFonts w:ascii="Calibri" w:eastAsia="Calibri" w:hAnsi="Calibri" w:cs="Calibri"/>
              </w:rPr>
              <w:t>Attribute versioning and lazy re-wrap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55216D08" w14:textId="77777777" w:rsidR="00023800" w:rsidRDefault="00000000">
            <w:r>
              <w:rPr>
                <w:rFonts w:ascii="Calibri" w:eastAsia="Calibri" w:hAnsi="Calibri" w:cs="Calibri"/>
              </w:rPr>
              <w:t>Prototype</w:t>
            </w:r>
          </w:p>
        </w:tc>
      </w:tr>
      <w:tr w:rsidR="00023800" w14:paraId="2F7D50A6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5D41DC5E" w14:textId="77777777" w:rsidR="00023800" w:rsidRDefault="00000000">
            <w:r>
              <w:rPr>
                <w:rFonts w:ascii="Calibri" w:eastAsia="Calibri" w:hAnsi="Calibri" w:cs="Calibri"/>
              </w:rPr>
              <w:t>Frontend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42AFE62E" w14:textId="77777777" w:rsidR="00023800" w:rsidRDefault="00000000">
            <w:r>
              <w:rPr>
                <w:rFonts w:ascii="Calibri" w:eastAsia="Calibri" w:hAnsi="Calibri" w:cs="Calibri"/>
              </w:rPr>
              <w:t>Upload / download / share / policy UI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711E38FE" w14:textId="77777777" w:rsidR="00023800" w:rsidRDefault="00000000">
            <w:r>
              <w:rPr>
                <w:rFonts w:ascii="Calibri" w:eastAsia="Calibri" w:hAnsi="Calibri" w:cs="Calibri"/>
              </w:rPr>
              <w:t>Demo-level</w:t>
            </w:r>
          </w:p>
        </w:tc>
      </w:tr>
      <w:tr w:rsidR="00023800" w14:paraId="5E807929" w14:textId="77777777"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758BCB31" w14:textId="77777777" w:rsidR="00023800" w:rsidRDefault="00000000">
            <w:r>
              <w:rPr>
                <w:rFonts w:ascii="Calibri" w:eastAsia="Calibri" w:hAnsi="Calibri" w:cs="Calibri"/>
              </w:rPr>
              <w:t>Evaluation</w:t>
            </w:r>
          </w:p>
        </w:tc>
        <w:tc>
          <w:tcPr>
            <w:tcW w:w="5100" w:type="dxa"/>
            <w:tcMar>
              <w:top w:w="0" w:type="dxa"/>
              <w:bottom w:w="0" w:type="dxa"/>
            </w:tcMar>
            <w:vAlign w:val="center"/>
          </w:tcPr>
          <w:p w14:paraId="0EFEFD4E" w14:textId="77777777" w:rsidR="00023800" w:rsidRDefault="00000000">
            <w:r>
              <w:rPr>
                <w:rFonts w:ascii="Calibri" w:eastAsia="Calibri" w:hAnsi="Calibri" w:cs="Calibri"/>
              </w:rPr>
              <w:t>Benchmark scripts and graphs</w:t>
            </w:r>
          </w:p>
        </w:tc>
        <w:tc>
          <w:tcPr>
            <w:tcW w:w="2300" w:type="dxa"/>
            <w:tcMar>
              <w:top w:w="0" w:type="dxa"/>
              <w:bottom w:w="0" w:type="dxa"/>
            </w:tcMar>
            <w:vAlign w:val="center"/>
          </w:tcPr>
          <w:p w14:paraId="67485F64" w14:textId="77777777" w:rsidR="00023800" w:rsidRDefault="00000000">
            <w:r>
              <w:rPr>
                <w:rFonts w:ascii="Calibri" w:eastAsia="Calibri" w:hAnsi="Calibri" w:cs="Calibri"/>
              </w:rPr>
              <w:t>Fully working</w:t>
            </w:r>
          </w:p>
        </w:tc>
      </w:tr>
    </w:tbl>
    <w:p w14:paraId="01B50113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V. Novelty</w:t>
      </w:r>
    </w:p>
    <w:p w14:paraId="17F6EDF4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Beyond a Re-Implementation</w:t>
      </w:r>
    </w:p>
    <w:p w14:paraId="77135805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Three-tier key wrapping: AES → CP-ABE → per-user RSA, which gives both attribute-based authorization and device-level binding, along with a security argument for why the extra layer is worth it.</w:t>
      </w:r>
    </w:p>
    <w:p w14:paraId="3C24B95E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Efficient revocation: attribute versioning with lazy re-encryption, backed by a measured cost model, aimed squarely at the most critical gap identified in the literature.</w:t>
      </w:r>
    </w:p>
    <w:p w14:paraId="67E8273C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 defence-in-depth trust model: ABAC gives instant revocation that can, in principle, be bypassed; ABE gives revocation that cannot be bypassed but is cryptographically expensive. Combining the two — and being honest about what each one actually buys — is the engineering contribution here.</w:t>
      </w:r>
    </w:p>
    <w:p w14:paraId="50360BB4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Outsourced decryption: moving the complex decryption computations to the server using a transformation key, so the client only needs to perform a simple final calculation.</w:t>
      </w:r>
    </w:p>
    <w:p w14:paraId="446BC93D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Post-quantum readiness: exploring or testing newer approaches such as ML-KEM (Kyber) and lattice-based ABE alongside RSA to prepare the system for future quantum-based threats.</w:t>
      </w:r>
    </w:p>
    <w:p w14:paraId="7614029F" w14:textId="77777777" w:rsidR="00023800" w:rsidRDefault="00023800">
      <w:pPr>
        <w:spacing w:after="100"/>
      </w:pPr>
    </w:p>
    <w:p w14:paraId="78B58951" w14:textId="77777777" w:rsidR="00023800" w:rsidRDefault="00023800">
      <w:pPr>
        <w:spacing w:after="100"/>
      </w:pPr>
    </w:p>
    <w:p w14:paraId="6761D67E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lastRenderedPageBreak/>
        <w:t>B. Multidisciplinary Aspects</w:t>
      </w:r>
    </w:p>
    <w:p w14:paraId="2F6E9989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IV. Contributing Disciplines</w:t>
      </w:r>
    </w:p>
    <w:tbl>
      <w:tblPr>
        <w:tblStyle w:val="a2"/>
        <w:tblW w:w="8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5400"/>
      </w:tblGrid>
      <w:tr w:rsidR="00023800" w14:paraId="27BCBA0C" w14:textId="77777777">
        <w:trPr>
          <w:tblHeader/>
        </w:trPr>
        <w:tc>
          <w:tcPr>
            <w:tcW w:w="32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4104D69D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Discipline</w:t>
            </w:r>
          </w:p>
        </w:tc>
        <w:tc>
          <w:tcPr>
            <w:tcW w:w="54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71AA2790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Contribution</w:t>
            </w:r>
          </w:p>
        </w:tc>
      </w:tr>
      <w:tr w:rsidR="00023800" w14:paraId="08120E29" w14:textId="77777777"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0E3A2638" w14:textId="77777777" w:rsidR="00023800" w:rsidRDefault="00000000">
            <w:r>
              <w:rPr>
                <w:rFonts w:ascii="Calibri" w:eastAsia="Calibri" w:hAnsi="Calibri" w:cs="Calibri"/>
              </w:rPr>
              <w:t>Cryptography / Mathematics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67D8ED3C" w14:textId="77777777" w:rsidR="00023800" w:rsidRDefault="00000000">
            <w:r>
              <w:rPr>
                <w:rFonts w:ascii="Calibri" w:eastAsia="Calibri" w:hAnsi="Calibri" w:cs="Calibri"/>
              </w:rPr>
              <w:t>Bilinear pairings, secret sharing (LSSS/Shamir), DBDH-based security proofs</w:t>
            </w:r>
          </w:p>
        </w:tc>
      </w:tr>
      <w:tr w:rsidR="00023800" w14:paraId="1052B6AD" w14:textId="77777777"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37B5FBEF" w14:textId="77777777" w:rsidR="00023800" w:rsidRDefault="00000000">
            <w:r>
              <w:rPr>
                <w:rFonts w:ascii="Calibri" w:eastAsia="Calibri" w:hAnsi="Calibri" w:cs="Calibri"/>
              </w:rPr>
              <w:t>Software / Systems Engineering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5B8ECCC6" w14:textId="77777777" w:rsidR="00023800" w:rsidRDefault="00000000">
            <w:r>
              <w:rPr>
                <w:rFonts w:ascii="Calibri" w:eastAsia="Calibri" w:hAnsi="Calibri" w:cs="Calibri"/>
              </w:rPr>
              <w:t>Flask API, MongoDB, cloud SDKs, Docker, testing</w:t>
            </w:r>
          </w:p>
        </w:tc>
      </w:tr>
      <w:tr w:rsidR="00023800" w14:paraId="5FB6B505" w14:textId="77777777"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5036D028" w14:textId="77777777" w:rsidR="00023800" w:rsidRDefault="00000000">
            <w:r>
              <w:rPr>
                <w:rFonts w:ascii="Calibri" w:eastAsia="Calibri" w:hAnsi="Calibri" w:cs="Calibri"/>
              </w:rPr>
              <w:t>Cloud / Distributed Systems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61DC690B" w14:textId="77777777" w:rsidR="00023800" w:rsidRDefault="00000000">
            <w:r>
              <w:rPr>
                <w:rFonts w:ascii="Calibri" w:eastAsia="Calibri" w:hAnsi="Calibri" w:cs="Calibri"/>
              </w:rPr>
              <w:t xml:space="preserve">Object storage, </w:t>
            </w:r>
            <w:proofErr w:type="spellStart"/>
            <w:r>
              <w:rPr>
                <w:rFonts w:ascii="Calibri" w:eastAsia="Calibri" w:hAnsi="Calibri" w:cs="Calibri"/>
              </w:rPr>
              <w:t>presigned</w:t>
            </w:r>
            <w:proofErr w:type="spellEnd"/>
            <w:r>
              <w:rPr>
                <w:rFonts w:ascii="Calibri" w:eastAsia="Calibri" w:hAnsi="Calibri" w:cs="Calibri"/>
              </w:rPr>
              <w:t xml:space="preserve"> URLs, key vaults, scalability</w:t>
            </w:r>
          </w:p>
        </w:tc>
      </w:tr>
      <w:tr w:rsidR="00023800" w14:paraId="124B4FA8" w14:textId="77777777"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7F4B5B7A" w14:textId="77777777" w:rsidR="00023800" w:rsidRDefault="00000000">
            <w:r>
              <w:rPr>
                <w:rFonts w:ascii="Calibri" w:eastAsia="Calibri" w:hAnsi="Calibri" w:cs="Calibri"/>
              </w:rPr>
              <w:t>Cybersecurity / Access Control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09014F49" w14:textId="77777777" w:rsidR="00023800" w:rsidRDefault="00000000">
            <w:r>
              <w:rPr>
                <w:rFonts w:ascii="Calibri" w:eastAsia="Calibri" w:hAnsi="Calibri" w:cs="Calibri"/>
              </w:rPr>
              <w:t>ABAC (NIST SP 800-162), threat modelling, defence-in-depth</w:t>
            </w:r>
          </w:p>
        </w:tc>
      </w:tr>
      <w:tr w:rsidR="00023800" w14:paraId="729372C8" w14:textId="77777777">
        <w:tc>
          <w:tcPr>
            <w:tcW w:w="3200" w:type="dxa"/>
            <w:tcMar>
              <w:top w:w="0" w:type="dxa"/>
              <w:bottom w:w="0" w:type="dxa"/>
            </w:tcMar>
            <w:vAlign w:val="center"/>
          </w:tcPr>
          <w:p w14:paraId="6E3B92FB" w14:textId="77777777" w:rsidR="00023800" w:rsidRDefault="00000000">
            <w:r>
              <w:rPr>
                <w:rFonts w:ascii="Calibri" w:eastAsia="Calibri" w:hAnsi="Calibri" w:cs="Calibri"/>
              </w:rPr>
              <w:t>Performance Engineering</w:t>
            </w:r>
          </w:p>
        </w:tc>
        <w:tc>
          <w:tcPr>
            <w:tcW w:w="5400" w:type="dxa"/>
            <w:tcMar>
              <w:top w:w="0" w:type="dxa"/>
              <w:bottom w:w="0" w:type="dxa"/>
            </w:tcMar>
            <w:vAlign w:val="center"/>
          </w:tcPr>
          <w:p w14:paraId="7E8294CD" w14:textId="77777777" w:rsidR="00023800" w:rsidRDefault="00000000">
            <w:r>
              <w:rPr>
                <w:rFonts w:ascii="Calibri" w:eastAsia="Calibri" w:hAnsi="Calibri" w:cs="Calibri"/>
              </w:rPr>
              <w:t>Benchmarking methodology and statistical evaluation</w:t>
            </w:r>
          </w:p>
        </w:tc>
      </w:tr>
    </w:tbl>
    <w:p w14:paraId="1DA75BAB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C. Transdisciplinary Aspects</w:t>
      </w:r>
    </w:p>
    <w:p w14:paraId="38747016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Healthcare and regulation (HIPAA, GDPR, India’s DPDP Act): constraints such as role, department, clearance, and time of day are encoded directly into the cryptographic policy rather than left as a separate compliance layer.</w:t>
      </w:r>
    </w:p>
    <w:p w14:paraId="65FCC1F9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Law and compliance: non-repudiation, tamper-evident audit trails, and revocation map fairly directly onto legal accountability requirements.</w:t>
      </w:r>
    </w:p>
    <w:p w14:paraId="2CAA6053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Public policy, e-governance, and finance: the same framework generalises to citizen records and financial documents, wherever decentralised trust matters.</w:t>
      </w:r>
    </w:p>
    <w:p w14:paraId="1F3E1517" w14:textId="77777777" w:rsidR="000238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Human factors: how usable the policy-builder is, and how key custody decisions get made, sits at the intersection of security engineering and usability.</w:t>
      </w:r>
    </w:p>
    <w:p w14:paraId="2BBBCB07" w14:textId="77777777" w:rsidR="00023800" w:rsidRDefault="00000000">
      <w:pPr>
        <w:pStyle w:val="Heading1"/>
        <w:spacing w:before="320" w:after="160"/>
        <w:rPr>
          <w:color w:val="000000"/>
        </w:rPr>
      </w:pPr>
      <w:r>
        <w:rPr>
          <w:color w:val="000000"/>
        </w:rPr>
        <w:t>VI. Feasibility Study and Analysis</w:t>
      </w:r>
    </w:p>
    <w:p w14:paraId="5E68A3CF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A. Technical Feasibility</w:t>
      </w:r>
    </w:p>
    <w:p w14:paraId="6F6114FD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V. Technical Feasibility Assessment</w:t>
      </w:r>
    </w:p>
    <w:tbl>
      <w:tblPr>
        <w:tblStyle w:val="a3"/>
        <w:tblW w:w="8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200"/>
        <w:gridCol w:w="3700"/>
      </w:tblGrid>
      <w:tr w:rsidR="00023800" w14:paraId="77EC6B90" w14:textId="77777777">
        <w:trPr>
          <w:tblHeader/>
        </w:trPr>
        <w:tc>
          <w:tcPr>
            <w:tcW w:w="27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7A6F111D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Aspect</w:t>
            </w:r>
          </w:p>
        </w:tc>
        <w:tc>
          <w:tcPr>
            <w:tcW w:w="22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11F07242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Assessment</w:t>
            </w:r>
          </w:p>
        </w:tc>
        <w:tc>
          <w:tcPr>
            <w:tcW w:w="37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505C1708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Risk / Mitigation</w:t>
            </w:r>
          </w:p>
        </w:tc>
      </w:tr>
      <w:tr w:rsidR="00023800" w14:paraId="25C42C58" w14:textId="77777777">
        <w:tc>
          <w:tcPr>
            <w:tcW w:w="2700" w:type="dxa"/>
            <w:tcMar>
              <w:top w:w="0" w:type="dxa"/>
              <w:bottom w:w="0" w:type="dxa"/>
            </w:tcMar>
            <w:vAlign w:val="center"/>
          </w:tcPr>
          <w:p w14:paraId="43E77577" w14:textId="77777777" w:rsidR="00023800" w:rsidRDefault="00000000">
            <w:r>
              <w:rPr>
                <w:rFonts w:ascii="Calibri" w:eastAsia="Calibri" w:hAnsi="Calibri" w:cs="Calibri"/>
              </w:rPr>
              <w:t>AES / RSA / SHA-256 / signatures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21921D57" w14:textId="77777777" w:rsidR="00023800" w:rsidRDefault="00000000">
            <w:r>
              <w:rPr>
                <w:rFonts w:ascii="Calibri" w:eastAsia="Calibri" w:hAnsi="Calibri" w:cs="Calibri"/>
              </w:rPr>
              <w:t>High — mature libraries</w:t>
            </w:r>
          </w:p>
        </w:tc>
        <w:tc>
          <w:tcPr>
            <w:tcW w:w="3700" w:type="dxa"/>
            <w:tcMar>
              <w:top w:w="0" w:type="dxa"/>
              <w:bottom w:w="0" w:type="dxa"/>
            </w:tcMar>
            <w:vAlign w:val="center"/>
          </w:tcPr>
          <w:p w14:paraId="7D7C548A" w14:textId="77777777" w:rsidR="00023800" w:rsidRDefault="00000000">
            <w:r>
              <w:rPr>
                <w:rFonts w:ascii="Calibri" w:eastAsia="Calibri" w:hAnsi="Calibri" w:cs="Calibri"/>
              </w:rPr>
              <w:t>Low risk</w:t>
            </w:r>
          </w:p>
        </w:tc>
      </w:tr>
      <w:tr w:rsidR="00023800" w14:paraId="5C90C355" w14:textId="77777777">
        <w:tc>
          <w:tcPr>
            <w:tcW w:w="2700" w:type="dxa"/>
            <w:tcMar>
              <w:top w:w="0" w:type="dxa"/>
              <w:bottom w:w="0" w:type="dxa"/>
            </w:tcMar>
            <w:vAlign w:val="center"/>
          </w:tcPr>
          <w:p w14:paraId="71E5E955" w14:textId="77777777" w:rsidR="00023800" w:rsidRDefault="00000000">
            <w:r>
              <w:rPr>
                <w:rFonts w:ascii="Calibri" w:eastAsia="Calibri" w:hAnsi="Calibri" w:cs="Calibri"/>
              </w:rPr>
              <w:t>CP-ABE (BSW07)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1C355904" w14:textId="77777777" w:rsidR="00023800" w:rsidRDefault="00000000">
            <w:r>
              <w:rPr>
                <w:rFonts w:ascii="Calibri" w:eastAsia="Calibri" w:hAnsi="Calibri" w:cs="Calibri"/>
              </w:rPr>
              <w:t>Feasible via Charm-Crypto</w:t>
            </w:r>
          </w:p>
        </w:tc>
        <w:tc>
          <w:tcPr>
            <w:tcW w:w="3700" w:type="dxa"/>
            <w:tcMar>
              <w:top w:w="0" w:type="dxa"/>
              <w:bottom w:w="0" w:type="dxa"/>
            </w:tcMar>
            <w:vAlign w:val="center"/>
          </w:tcPr>
          <w:p w14:paraId="45A4C119" w14:textId="77777777" w:rsidR="00023800" w:rsidRDefault="00000000">
            <w:r>
              <w:rPr>
                <w:rFonts w:ascii="Calibri" w:eastAsia="Calibri" w:hAnsi="Calibri" w:cs="Calibri"/>
              </w:rPr>
              <w:t>Build complexity is the main risk; addressed with Docker in Week 1, plus a documented simulated fallback</w:t>
            </w:r>
          </w:p>
        </w:tc>
      </w:tr>
      <w:tr w:rsidR="00023800" w14:paraId="61A15F6B" w14:textId="77777777">
        <w:tc>
          <w:tcPr>
            <w:tcW w:w="2700" w:type="dxa"/>
            <w:tcMar>
              <w:top w:w="0" w:type="dxa"/>
              <w:bottom w:w="0" w:type="dxa"/>
            </w:tcMar>
            <w:vAlign w:val="center"/>
          </w:tcPr>
          <w:p w14:paraId="38A27942" w14:textId="77777777" w:rsidR="00023800" w:rsidRDefault="00000000">
            <w:r>
              <w:rPr>
                <w:rFonts w:ascii="Calibri" w:eastAsia="Calibri" w:hAnsi="Calibri" w:cs="Calibri"/>
              </w:rPr>
              <w:t>Flask + MongoDB + JWT + ABAC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4C12A999" w14:textId="77777777" w:rsidR="00023800" w:rsidRDefault="00000000">
            <w:r>
              <w:rPr>
                <w:rFonts w:ascii="Calibri" w:eastAsia="Calibri" w:hAnsi="Calibri" w:cs="Calibri"/>
              </w:rPr>
              <w:t>High — standard stack</w:t>
            </w:r>
          </w:p>
        </w:tc>
        <w:tc>
          <w:tcPr>
            <w:tcW w:w="3700" w:type="dxa"/>
            <w:tcMar>
              <w:top w:w="0" w:type="dxa"/>
              <w:bottom w:w="0" w:type="dxa"/>
            </w:tcMar>
            <w:vAlign w:val="center"/>
          </w:tcPr>
          <w:p w14:paraId="03013D82" w14:textId="77777777" w:rsidR="00023800" w:rsidRDefault="00000000">
            <w:r>
              <w:rPr>
                <w:rFonts w:ascii="Calibri" w:eastAsia="Calibri" w:hAnsi="Calibri" w:cs="Calibri"/>
              </w:rPr>
              <w:t>Low risk</w:t>
            </w:r>
          </w:p>
        </w:tc>
      </w:tr>
      <w:tr w:rsidR="00023800" w14:paraId="58FDF83D" w14:textId="77777777">
        <w:tc>
          <w:tcPr>
            <w:tcW w:w="2700" w:type="dxa"/>
            <w:tcMar>
              <w:top w:w="0" w:type="dxa"/>
              <w:bottom w:w="0" w:type="dxa"/>
            </w:tcMar>
            <w:vAlign w:val="center"/>
          </w:tcPr>
          <w:p w14:paraId="06D678C0" w14:textId="77777777" w:rsidR="00023800" w:rsidRDefault="00000000">
            <w:r>
              <w:rPr>
                <w:rFonts w:ascii="Calibri" w:eastAsia="Calibri" w:hAnsi="Calibri" w:cs="Calibri"/>
              </w:rPr>
              <w:t>S3 / Azure Blob integration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6CE2FEF1" w14:textId="77777777" w:rsidR="00023800" w:rsidRDefault="00000000">
            <w:r>
              <w:rPr>
                <w:rFonts w:ascii="Calibri" w:eastAsia="Calibri" w:hAnsi="Calibri" w:cs="Calibri"/>
              </w:rPr>
              <w:t>High — mature SDKs</w:t>
            </w:r>
          </w:p>
        </w:tc>
        <w:tc>
          <w:tcPr>
            <w:tcW w:w="3700" w:type="dxa"/>
            <w:tcMar>
              <w:top w:w="0" w:type="dxa"/>
              <w:bottom w:w="0" w:type="dxa"/>
            </w:tcMar>
            <w:vAlign w:val="center"/>
          </w:tcPr>
          <w:p w14:paraId="5B5B4F4C" w14:textId="77777777" w:rsidR="00023800" w:rsidRDefault="00000000">
            <w:r>
              <w:rPr>
                <w:rFonts w:ascii="Calibri" w:eastAsia="Calibri" w:hAnsi="Calibri" w:cs="Calibri"/>
              </w:rPr>
              <w:t>Free-tier limits; test files kept small</w:t>
            </w:r>
          </w:p>
        </w:tc>
      </w:tr>
      <w:tr w:rsidR="00023800" w14:paraId="349B5FF6" w14:textId="77777777">
        <w:tc>
          <w:tcPr>
            <w:tcW w:w="2700" w:type="dxa"/>
            <w:tcMar>
              <w:top w:w="0" w:type="dxa"/>
              <w:bottom w:w="0" w:type="dxa"/>
            </w:tcMar>
            <w:vAlign w:val="center"/>
          </w:tcPr>
          <w:p w14:paraId="22293000" w14:textId="77777777" w:rsidR="00023800" w:rsidRDefault="00000000">
            <w:r>
              <w:rPr>
                <w:rFonts w:ascii="Calibri" w:eastAsia="Calibri" w:hAnsi="Calibri" w:cs="Calibri"/>
              </w:rPr>
              <w:t>Attribute-versioning revocation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  <w:vAlign w:val="center"/>
          </w:tcPr>
          <w:p w14:paraId="212342CC" w14:textId="77777777" w:rsidR="00023800" w:rsidRDefault="00000000">
            <w:r>
              <w:rPr>
                <w:rFonts w:ascii="Calibri" w:eastAsia="Calibri" w:hAnsi="Calibri" w:cs="Calibri"/>
              </w:rPr>
              <w:t>Feasible — 32-byte re-wrap</w:t>
            </w:r>
          </w:p>
        </w:tc>
        <w:tc>
          <w:tcPr>
            <w:tcW w:w="3700" w:type="dxa"/>
            <w:tcMar>
              <w:top w:w="0" w:type="dxa"/>
              <w:bottom w:w="0" w:type="dxa"/>
            </w:tcMar>
            <w:vAlign w:val="center"/>
          </w:tcPr>
          <w:p w14:paraId="60C65AEF" w14:textId="77777777" w:rsidR="00023800" w:rsidRDefault="00000000">
            <w:r>
              <w:rPr>
                <w:rFonts w:ascii="Calibri" w:eastAsia="Calibri" w:hAnsi="Calibri" w:cs="Calibri"/>
              </w:rPr>
              <w:t>Medium risk; scope limited to lazy re-wrap</w:t>
            </w:r>
          </w:p>
        </w:tc>
      </w:tr>
    </w:tbl>
    <w:p w14:paraId="47BD31BD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B. Operational and Schedule Feasibility</w:t>
      </w:r>
    </w:p>
    <w:p w14:paraId="402A038A" w14:textId="77777777" w:rsidR="00023800" w:rsidRDefault="00000000">
      <w:pPr>
        <w:spacing w:after="180" w:line="30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work is planned across five phases. Weeks 1–3 cover the literature review and the AES/RSA modules; Weeks 4–6 cover building CP-ABE with Charm inside Docker, along with the hybrid envelope module; Weeks 7–9 cover the Flask API, JWT, the ABAC PDP, and the storage adapters; Weeks 10–11 cover sharing, revocation, and the attribute-authority console; and Weeks 12–15 cover the minimal UI, benchmarking, security analysis, and writing up the report and paper.</w:t>
      </w:r>
    </w:p>
    <w:p w14:paraId="26D6A3D8" w14:textId="77777777" w:rsidR="00023800" w:rsidRDefault="00023800">
      <w:pPr>
        <w:spacing w:after="180" w:line="300" w:lineRule="auto"/>
        <w:rPr>
          <w:rFonts w:ascii="Calibri" w:eastAsia="Calibri" w:hAnsi="Calibri" w:cs="Calibri"/>
          <w:sz w:val="22"/>
          <w:szCs w:val="22"/>
        </w:rPr>
      </w:pPr>
    </w:p>
    <w:p w14:paraId="13585FBA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lastRenderedPageBreak/>
        <w:t>C. Economic Feasibility</w:t>
      </w:r>
    </w:p>
    <w:p w14:paraId="405D1645" w14:textId="77777777" w:rsidR="00023800" w:rsidRDefault="00000000">
      <w:pPr>
        <w:spacing w:after="180" w:line="30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framework can be built at close to zero cost. Everything is open-source, cloud free tiers or student credits cover the infrastructure, MongoDB can run locally, and benchmarking only needs a commodity laptop.</w:t>
      </w:r>
    </w:p>
    <w:p w14:paraId="4E2C3BA5" w14:textId="77777777" w:rsidR="00023800" w:rsidRDefault="00023800">
      <w:pPr>
        <w:spacing w:after="180" w:line="300" w:lineRule="auto"/>
        <w:rPr>
          <w:rFonts w:ascii="Calibri" w:eastAsia="Calibri" w:hAnsi="Calibri" w:cs="Calibri"/>
          <w:sz w:val="22"/>
          <w:szCs w:val="22"/>
        </w:rPr>
      </w:pPr>
    </w:p>
    <w:p w14:paraId="11F8F5F9" w14:textId="77777777" w:rsidR="00023800" w:rsidRDefault="00023800">
      <w:pPr>
        <w:spacing w:after="180" w:line="300" w:lineRule="auto"/>
      </w:pPr>
    </w:p>
    <w:p w14:paraId="1700FA72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D. Security Feasibility</w:t>
      </w:r>
    </w:p>
    <w:p w14:paraId="1B94A89B" w14:textId="77777777" w:rsidR="0002380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>Table VI. Threat-Mitigation Mapping</w:t>
      </w:r>
    </w:p>
    <w:tbl>
      <w:tblPr>
        <w:tblStyle w:val="a4"/>
        <w:tblW w:w="8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6000"/>
      </w:tblGrid>
      <w:tr w:rsidR="00023800" w14:paraId="2E8FB729" w14:textId="77777777">
        <w:trPr>
          <w:tblHeader/>
        </w:trPr>
        <w:tc>
          <w:tcPr>
            <w:tcW w:w="26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3114F6D6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Threat</w:t>
            </w:r>
          </w:p>
        </w:tc>
        <w:tc>
          <w:tcPr>
            <w:tcW w:w="6000" w:type="dxa"/>
            <w:shd w:val="clear" w:color="auto" w:fill="D9E2F3"/>
            <w:tcMar>
              <w:top w:w="0" w:type="dxa"/>
              <w:bottom w:w="0" w:type="dxa"/>
            </w:tcMar>
            <w:vAlign w:val="center"/>
          </w:tcPr>
          <w:p w14:paraId="0C4E2FE2" w14:textId="77777777" w:rsidR="00023800" w:rsidRDefault="00000000">
            <w:r>
              <w:rPr>
                <w:rFonts w:ascii="Calibri" w:eastAsia="Calibri" w:hAnsi="Calibri" w:cs="Calibri"/>
                <w:b/>
                <w:bCs/>
              </w:rPr>
              <w:t>Mitigation</w:t>
            </w:r>
          </w:p>
        </w:tc>
      </w:tr>
      <w:tr w:rsidR="00023800" w14:paraId="3F78C4C7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5A72735D" w14:textId="77777777" w:rsidR="00023800" w:rsidRDefault="00000000">
            <w:r>
              <w:rPr>
                <w:rFonts w:ascii="Calibri" w:eastAsia="Calibri" w:hAnsi="Calibri" w:cs="Calibri"/>
              </w:rPr>
              <w:t>Honest-but-curious cloud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73C09DF5" w14:textId="77777777" w:rsidR="00023800" w:rsidRDefault="00000000">
            <w:r>
              <w:rPr>
                <w:rFonts w:ascii="Calibri" w:eastAsia="Calibri" w:hAnsi="Calibri" w:cs="Calibri"/>
              </w:rPr>
              <w:t>Files are AES-encrypted before upload, so the cloud only ever sees ciphertext</w:t>
            </w:r>
          </w:p>
        </w:tc>
      </w:tr>
      <w:tr w:rsidR="00023800" w14:paraId="1A908102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1721DB0A" w14:textId="77777777" w:rsidR="00023800" w:rsidRDefault="00000000">
            <w:r>
              <w:rPr>
                <w:rFonts w:ascii="Calibri" w:eastAsia="Calibri" w:hAnsi="Calibri" w:cs="Calibri"/>
              </w:rPr>
              <w:t>Insider at the application server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08DCD2D2" w14:textId="77777777" w:rsidR="00023800" w:rsidRDefault="00000000">
            <w:r>
              <w:rPr>
                <w:rFonts w:ascii="Calibri" w:eastAsia="Calibri" w:hAnsi="Calibri" w:cs="Calibri"/>
              </w:rPr>
              <w:t>The DEK is ABE-wrapped; the server never holds a user’s secret key, and decryption happens client-side</w:t>
            </w:r>
          </w:p>
        </w:tc>
      </w:tr>
      <w:tr w:rsidR="00023800" w14:paraId="6643A6D7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34B1DE7A" w14:textId="77777777" w:rsidR="00023800" w:rsidRDefault="00000000">
            <w:r>
              <w:rPr>
                <w:rFonts w:ascii="Calibri" w:eastAsia="Calibri" w:hAnsi="Calibri" w:cs="Calibri"/>
              </w:rPr>
              <w:t>Collusion between users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26B0C35E" w14:textId="77777777" w:rsidR="00023800" w:rsidRDefault="00000000">
            <w:r>
              <w:rPr>
                <w:rFonts w:ascii="Calibri" w:eastAsia="Calibri" w:hAnsi="Calibri" w:cs="Calibri"/>
              </w:rPr>
              <w:t>CP-ABE key randomisation prevents users from pooling their keys</w:t>
            </w:r>
          </w:p>
        </w:tc>
      </w:tr>
      <w:tr w:rsidR="00023800" w14:paraId="209A5F8F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4C648110" w14:textId="77777777" w:rsidR="00023800" w:rsidRDefault="00000000">
            <w:r>
              <w:rPr>
                <w:rFonts w:ascii="Calibri" w:eastAsia="Calibri" w:hAnsi="Calibri" w:cs="Calibri"/>
              </w:rPr>
              <w:t>Data tampering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46B81F6C" w14:textId="77777777" w:rsidR="00023800" w:rsidRDefault="00000000">
            <w:r>
              <w:rPr>
                <w:rFonts w:ascii="Calibri" w:eastAsia="Calibri" w:hAnsi="Calibri" w:cs="Calibri"/>
              </w:rPr>
              <w:t>AES-GCM authentication tag, SHA-256, and RSA-PSS signature</w:t>
            </w:r>
          </w:p>
        </w:tc>
      </w:tr>
      <w:tr w:rsidR="00023800" w14:paraId="75CA04B0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5D50A4F3" w14:textId="77777777" w:rsidR="00023800" w:rsidRDefault="00000000">
            <w:r>
              <w:rPr>
                <w:rFonts w:ascii="Calibri" w:eastAsia="Calibri" w:hAnsi="Calibri" w:cs="Calibri"/>
              </w:rPr>
              <w:t>A revoked user attempting access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79D4DA5C" w14:textId="77777777" w:rsidR="00023800" w:rsidRDefault="00000000">
            <w:r>
              <w:rPr>
                <w:rFonts w:ascii="Calibri" w:eastAsia="Calibri" w:hAnsi="Calibri" w:cs="Calibri"/>
              </w:rPr>
              <w:t>Attribute versioning with re-wrap, plus instant denial at the ABAC layer</w:t>
            </w:r>
          </w:p>
        </w:tc>
      </w:tr>
      <w:tr w:rsidR="00023800" w14:paraId="63A8EE21" w14:textId="77777777">
        <w:tc>
          <w:tcPr>
            <w:tcW w:w="2600" w:type="dxa"/>
            <w:tcMar>
              <w:top w:w="0" w:type="dxa"/>
              <w:bottom w:w="0" w:type="dxa"/>
            </w:tcMar>
            <w:vAlign w:val="center"/>
          </w:tcPr>
          <w:p w14:paraId="6222CB26" w14:textId="77777777" w:rsidR="00023800" w:rsidRDefault="00000000">
            <w:r>
              <w:rPr>
                <w:rFonts w:ascii="Calibri" w:eastAsia="Calibri" w:hAnsi="Calibri" w:cs="Calibri"/>
              </w:rPr>
              <w:t>A future quantum adversary</w:t>
            </w:r>
          </w:p>
        </w:tc>
        <w:tc>
          <w:tcPr>
            <w:tcW w:w="6000" w:type="dxa"/>
            <w:tcMar>
              <w:top w:w="0" w:type="dxa"/>
              <w:bottom w:w="0" w:type="dxa"/>
            </w:tcMar>
            <w:vAlign w:val="center"/>
          </w:tcPr>
          <w:p w14:paraId="6BD84A57" w14:textId="77777777" w:rsidR="00023800" w:rsidRDefault="00000000">
            <w:r>
              <w:rPr>
                <w:rFonts w:ascii="Calibri" w:eastAsia="Calibri" w:hAnsi="Calibri" w:cs="Calibri"/>
              </w:rPr>
              <w:t>Documented as a risk; ML-KEM / lattice-based ABE noted as future work</w:t>
            </w:r>
          </w:p>
        </w:tc>
      </w:tr>
    </w:tbl>
    <w:p w14:paraId="62C45203" w14:textId="77777777" w:rsidR="00023800" w:rsidRDefault="00000000">
      <w:pPr>
        <w:pStyle w:val="Heading2"/>
        <w:spacing w:before="240" w:after="120"/>
        <w:rPr>
          <w:color w:val="000000"/>
        </w:rPr>
      </w:pPr>
      <w:r>
        <w:rPr>
          <w:color w:val="000000"/>
        </w:rPr>
        <w:t>E. Verdict</w:t>
      </w:r>
    </w:p>
    <w:p w14:paraId="208B17C1" w14:textId="77777777" w:rsidR="00023800" w:rsidRDefault="00000000">
      <w:pPr>
        <w:spacing w:after="180" w:line="300" w:lineRule="auto"/>
      </w:pPr>
      <w:r>
        <w:rPr>
          <w:rFonts w:ascii="Calibri" w:eastAsia="Calibri" w:hAnsi="Calibri" w:cs="Calibri"/>
          <w:sz w:val="22"/>
          <w:szCs w:val="22"/>
        </w:rPr>
        <w:t>Taken together, the project looks technically, economically, and operationally feasible within a single semester, using open-source tools and cloud free tiers. The single biggest risk is getting Charm-Crypto built and working; that risk is front-loaded into Week 1 using Docker, and a documented simulated-CP-ABE fallback is kept in reserve in case it is needed.</w:t>
      </w:r>
    </w:p>
    <w:sectPr w:rsidR="00023800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CC312" w14:textId="77777777" w:rsidR="004B0571" w:rsidRDefault="004B0571">
      <w:r>
        <w:separator/>
      </w:r>
    </w:p>
  </w:endnote>
  <w:endnote w:type="continuationSeparator" w:id="0">
    <w:p w14:paraId="7C2816D2" w14:textId="77777777" w:rsidR="004B0571" w:rsidRDefault="004B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081AB17-7827-4D48-948C-CCB7BED3E4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B80B15-9E1C-484B-A510-29C31A278D07}"/>
    <w:embedBold r:id="rId3" w:fontKey="{84E357E5-2514-424B-A595-6420A09FDA4E}"/>
    <w:embedItalic r:id="rId4" w:fontKey="{2D7D729F-6EBA-4F3D-89D5-7012E8CA0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8C4A5E-FB33-44BF-A542-7BE817A0E6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43B88" w14:textId="77777777" w:rsidR="004B0571" w:rsidRDefault="004B0571">
      <w:r>
        <w:separator/>
      </w:r>
    </w:p>
  </w:footnote>
  <w:footnote w:type="continuationSeparator" w:id="0">
    <w:p w14:paraId="392B5CAC" w14:textId="77777777" w:rsidR="004B0571" w:rsidRDefault="004B0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6F86" w14:textId="77777777" w:rsidR="00023800" w:rsidRDefault="000238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4B54"/>
    <w:multiLevelType w:val="multilevel"/>
    <w:tmpl w:val="F9027ADA"/>
    <w:lvl w:ilvl="0">
      <w:start w:val="1"/>
      <w:numFmt w:val="bullet"/>
      <w:lvlText w:val="•"/>
      <w:lvlJc w:val="left"/>
      <w:pPr>
        <w:ind w:left="576" w:hanging="288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0791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00"/>
    <w:rsid w:val="00023800"/>
    <w:rsid w:val="001E4D78"/>
    <w:rsid w:val="004B0571"/>
    <w:rsid w:val="00924EAF"/>
    <w:rsid w:val="00E0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0FB4"/>
  <w15:docId w15:val="{FC96F101-EE19-444C-A61E-99385374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1809</Words>
  <Characters>10315</Characters>
  <Application>Microsoft Office Word</Application>
  <DocSecurity>0</DocSecurity>
  <Lines>85</Lines>
  <Paragraphs>24</Paragraphs>
  <ScaleCrop>false</ScaleCrop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Kushagra Goyal</dc:creator>
  <cp:lastModifiedBy>Kushagra Goyal</cp:lastModifiedBy>
  <cp:revision>2</cp:revision>
  <dcterms:created xsi:type="dcterms:W3CDTF">2026-08-24T09:31:00Z</dcterms:created>
  <dcterms:modified xsi:type="dcterms:W3CDTF">2026-08-24T09:31:00Z</dcterms:modified>
</cp:coreProperties>
</file>