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rPr/>
        <w:t xml:space="preserve">Privacy-Preserving Secure Cloud Storage Using Hybrid Encryption and Attribute-Based Access Control</w:t>
      </w:r>
    </w:p>
    <w:p>
      <w:pPr>
        <w:pStyle w:val="Subtitle"/>
        <w:jc w:val="center"/>
      </w:pPr>
      <w:r>
        <w:rPr>
          <w:i/>
        </w:rPr>
        <w:t xml:space="preserve">Vansh Sharma  ·  Kushagra Goyal  ·  Geetanshi Singh  ·  Himanshi Kumar</w:t>
      </w:r>
    </w:p>
    <w:p>
      <w:pPr>
        <w:pStyle w:val="Subtitle"/>
        <w:jc w:val="center"/>
      </w:pPr>
      <w:r>
        <w:rPr>
          <w:i/>
        </w:rPr>
        <w:t xml:space="preserve">Department of Computer Science &amp; Engineering</w:t>
      </w:r>
    </w:p>
    <w:p>
      <w:pPr>
        <w:pStyle w:val="Normal"/>
      </w:pPr>
      <w:r>
        <w:rPr>
          <w:i/>
        </w:rPr>
        <w:t xml:space="preserve">Note on scope of literature: this report deliberately grounds its survey, research gaps, and references in peer-reviewed work published from 2021 onward, so that the identified gaps reflect the current state of the art rather than historical foundations.</w:t>
      </w:r>
    </w:p>
    <w:p>
      <w:pPr>
        <w:pStyle w:val="Heading1"/>
        <w:keepNext/>
      </w:pPr>
      <w:r>
        <w:rPr/>
        <w:t xml:space="preserve">I. Problem Definition</w:t>
      </w:r>
    </w:p>
    <w:p>
      <w:pPr>
        <w:pStyle w:val="Heading2"/>
        <w:keepNext/>
      </w:pPr>
      <w:r>
        <w:rPr/>
        <w:t xml:space="preserve">A. Context</w:t>
      </w:r>
    </w:p>
    <w:p>
      <w:pPr>
        <w:pStyle w:val="Normal"/>
      </w:pPr>
      <w:r>
        <w:rPr/>
        <w:t xml:space="preserve">A growing number of organisations store sensitive material — health records, financial documents, and government files — on third-party platforms such as AWS S3 or Azure Blob. Recent work continues to confirm three structural weaknesses in this arrangement [1], [8], [15].</w:t>
      </w:r>
    </w:p>
    <w:p>
      <w:pPr>
        <w:pStyle w:val="Normal"/>
      </w:pPr>
      <w:r>
        <w:rPr/>
        <w:t xml:space="preserve">First, the provider holds the keys. Server-side “encryption at rest” such as SSE-S3 or SSE-KMS uses keys the cloud provider itself controls, so a malicious insider, a subpoena, or a compromised control plane can all recover the plaintext. The provider is, at best, honest-but-curious.</w:t>
      </w:r>
    </w:p>
    <w:p>
      <w:pPr>
        <w:pStyle w:val="Normal"/>
      </w:pPr>
      <w:r>
        <w:rPr/>
        <w:t xml:space="preserve">Second, access control is coarse-grained and is enforced by the cloud layer rather than by the data itself. IAM policies and ACLs express “user X may read object Y,” but cannot naturally express a rule such as “any cardiologist in the Delhi branch with clearance level 3 or higher, during working hours.” If that layer is bypassed, the plaintext is exposed.</w:t>
      </w:r>
    </w:p>
    <w:p>
      <w:pPr>
        <w:pStyle w:val="Normal"/>
      </w:pPr>
      <w:r>
        <w:rPr/>
        <w:t xml:space="preserve">Third, sharing tends to break confidentiality. When a file must reach many users, an organisation must either distribute the raw key — which makes revocation practically impossible — or re-encrypt a separate copy for every recipient, which does not scale.</w:t>
      </w:r>
    </w:p>
    <w:p>
      <w:pPr>
        <w:pStyle w:val="Heading2"/>
        <w:keepNext/>
      </w:pPr>
      <w:r>
        <w:rPr/>
        <w:t xml:space="preserve">B. Core Problem Statement</w:t>
      </w:r>
    </w:p>
    <w:p>
      <w:pPr>
        <w:pStyle w:val="Normal"/>
      </w:pPr>
      <w:r>
        <w:rPr/>
        <w:t xml:space="preserve">No existing cloud-storage system simultaneously provides fine-grained access control, efficient key management, near-instant revocation, post-quantum resistance, and search over encrypted data without sacrificing security, performance, or usability. This project targets that combined gap.</w:t>
      </w:r>
    </w:p>
    <w:p>
      <w:pPr>
        <w:pStyle w:val="Heading2"/>
        <w:keepNext/>
      </w:pPr>
      <w:r>
        <w:rPr/>
        <w:t xml:space="preserve">C. The Fundamental Tension</w:t>
      </w:r>
    </w:p>
    <w:p>
      <w:pPr>
        <w:pStyle w:val="Normal"/>
      </w:pPr>
      <w:r>
        <w:rPr/>
        <w:t xml:space="preserve">Four recurring tensions emerge from the recent (2021-onward) literature: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Fine-grained control vs. computational cost</w:t>
      </w:r>
      <w:r>
        <w:rPr/>
        <w:t xml:space="preserve"> — single-authority ABE schemes still suffer from key escrow, heavy overhead, and clumsy revocation [2], [12].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Real-time response vs. batch processing</w:t>
      </w:r>
      <w:r>
        <w:rPr/>
        <w:t xml:space="preserve"> — most schemes update keys periodically, leaving an exposure window in fast-moving environments such as IoT and connected vehicles [3], [5].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Centralised trust vs. decentralised resilience</w:t>
      </w:r>
      <w:r>
        <w:rPr/>
        <w:t xml:space="preserve"> — many designs still rely on classical hardness assumptions and a single trusted authority [12], [16], [18].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Regulatory compliance vs. practical performance</w:t>
      </w:r>
      <w:r>
        <w:rPr/>
        <w:t xml:space="preserve"> — access-control models struggle to keep pace with multi-tenant, constantly changing cloud infrastructure [19], [20].</w:t>
      </w:r>
    </w:p>
    <w:p>
      <w:pPr>
        <w:pStyle w:val="Heading1"/>
        <w:keepNext/>
      </w:pPr>
      <w:r>
        <w:rPr/>
        <w:t xml:space="preserve">II. Literature Survey (2021–Present)</w:t>
      </w:r>
    </w:p>
    <w:p>
      <w:pPr>
        <w:pStyle w:val="Heading2"/>
        <w:keepNext/>
      </w:pPr>
      <w:r>
        <w:rPr/>
        <w:t xml:space="preserve">A. Review Scope and Method</w:t>
      </w:r>
    </w:p>
    <w:p>
      <w:pPr>
        <w:pStyle w:val="Normal"/>
      </w:pPr>
      <w:r>
        <w:rPr/>
        <w:t xml:space="preserve">We restricted the review to peer-reviewed work published from 2021 onward and organised it into six themes that map directly onto the components of this project: (1) hybrid encryption for cloud storage, (2) ciphertext-policy ABE and its efficiency, (3) user/attribute revocation, (4) multi-authority and blockchain-assisted ABE, (5) attribute-based searchable encryption, and (6) post-quantum / lattice-based ABE. For each theme we summarise representative recent works (Table I), then discuss their achievements and drawbacks, and finally synthesise the gaps (Table III).</w:t>
      </w:r>
    </w:p>
    <w:p>
      <w:pPr>
        <w:pStyle w:val="Heading2"/>
        <w:keepNext/>
      </w:pPr>
      <w:r>
        <w:rPr/>
        <w:t xml:space="preserve">B. Representative Recent Works (2021–Present)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420"/>
        <w:gridCol w:w="4300"/>
        <w:gridCol w:w="1340"/>
        <w:gridCol w:w="3300"/>
      </w:tblGrid>
      <w:tr>
        <w:trPr>
          <w:tblHeader/>
        </w:trPr>
        <w:tc>
          <w:tcPr>
            <w:tcW w:w="42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w="43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Recent Work (venue, year)</w:t>
            </w:r>
          </w:p>
        </w:tc>
        <w:tc>
          <w:tcPr>
            <w:tcW w:w="134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Theme</w:t>
            </w:r>
          </w:p>
        </w:tc>
        <w:tc>
          <w:tcPr>
            <w:tcW w:w="33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Core contribution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Hybrid ECC-AES framework, Sci. Reports (Nature), 2025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Hybrid enc.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Fast AES + ECC key protection, low latency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Privacy-preserving storage w/ hybrid enc. + homomorphic search + blockchain, Sci. Reports, 2026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Hybrid + search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Confidentiality + keyword search + integrity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Hybrid AES-ECC model for cloud data, Electronics (MDPI), 2021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Hybrid enc.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AES-ECC authentication and integrity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Efficient revocable CP-ABE w/ black-box traceability, Int. J. Inf. Security, 2026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CP-ABE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Balances revocation and key tracing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Puncturable CP-ABE for flexible user revocation, Science China Inf. Sci., 2023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Revocation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Puncturable enc. + proxy decryption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Revocable, dynamic, decentralized access control, J. Supercomputing, 2022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Revocation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Dynamic decentralised revocation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Revocable blockchain-aided ABE, escrow-free, IEEE Trans. Computers, 2023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MA/blockchain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Escrow-free revocation with blockchain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Revocable &amp; traceable undeniable ABE (MA-RUABE), Entropy (MDPI), 2024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MA/revocation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Traceability + direct revocation for e-health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Verifiable attribute-based keyword search (PHR), J. Cloud Computing, 2023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Searchable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Verifiable CP-ABE keyword search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TMABKS: traceable multi-authority ABKS, Cluster Computing, 2025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MA + search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Boolean multi-authority keyword search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Temporary keyword search on encrypted data, Sci. Reports (Nature), 2024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Searchable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Time-bounded search tokens, privacy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Quantum-resistant traceable revocable escrow-free CP-ABE, P2P Netw. &amp; Appl., 2025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Post-quantum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Lattice CP-ABE with trace + revoke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Survey: post-quantum lattice CP-ABE for cloud, IEEE Trans. Services Comp., 2024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Post-quantum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Taxonomy and open issues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Lattice CP-ABE w/ lazy attribute assignment &amp; revocation, IET Inf. Security, 2024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Post-quantum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R-LWE CP-ABE, lazy revocation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Lattice-based revocable ABE vs key exposure, J. Cloud Computing, 2023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Post-quantum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R-LWE efficiency, key-exposure resistance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BL-ABSE: blockchain + lattice ABSE + instant revocation, Electronics (MDPI), 2026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Unified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PQ + ABE + search + audit + revocation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Escrow-free multi-authority access control for EHR, J. Supercomputing, 2025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MA/blockchain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Keyless management, no single authority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Survey: multi-authority &amp; decentralized ABE, J. Ambient Intell., 2021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MA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Decentralised ABE state of the art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ABAC for big data with multiple sensitivities, Applied Sciences, 2023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ABAC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ABAC prototype on Hadoop/Ranger/Atlas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w="4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CRYSTALS-Kyber (ML-KEM) vs RSA/ECC performance, arXiv, 2025</w:t>
            </w:r>
          </w:p>
        </w:tc>
        <w:tc>
          <w:tcPr>
            <w:tcW w:w="13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Post-quantum</w:t>
            </w:r>
          </w:p>
        </w:tc>
        <w:tc>
          <w:tcPr>
            <w:tcW w:w="33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ML-KEM benchmarking vs classical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2"/>
        <w:keepNext/>
      </w:pPr>
      <w:r>
        <w:rPr/>
        <w:t xml:space="preserve">C. Critical Analysis by Theme</w:t>
      </w:r>
    </w:p>
    <w:p>
      <w:pPr>
        <w:pStyle w:val="Heading3"/>
        <w:keepNext/>
      </w:pPr>
      <w:r>
        <w:rPr/>
        <w:t xml:space="preserve">1) Hybrid encryption for cloud storage</w:t>
      </w:r>
    </w:p>
    <w:p>
      <w:pPr>
        <w:pStyle w:val="Normal"/>
      </w:pPr>
      <w:r>
        <w:rPr/>
        <w:t xml:space="preserve">Recent hybrid schemes pair a fast symmetric cipher (AES) with a public-key layer (ECC or RSA) to protect the data-encryption key. The 2025 ECC-AES framework [1] and the 2021 AES-ECC model [3] show strong throughput with low encryption/decryption latency and add integrity via HMAC or signatures. Their achievement is a practical confidentiality-plus-performance balance on commodity hardware. However, they treat access control as an external concern — keys are shared per recipient, so they do not offer fine-grained, policy-based authorisation or scalable revocation, which is exactly where attribute-based methods are needed.</w:t>
      </w:r>
    </w:p>
    <w:p>
      <w:pPr>
        <w:pStyle w:val="Normal"/>
      </w:pPr>
      <w:r>
        <w:rPr/>
        <w:t xml:space="preserve">The 2026 privacy-preserving framework [2] goes further by adding homomorphic keyword search and blockchain-based integrity to hybrid encryption. Its achievement is combining confidentiality, search, and tamper-evidence in one system. Its drawbacks are the computational cost of homomorphic operations and blockchain throughput limits, and it still lacks attribute-level access policies, motivating our CP-ABE + ABAC design.</w:t>
      </w:r>
    </w:p>
    <w:p>
      <w:pPr>
        <w:pStyle w:val="Heading3"/>
        <w:keepNext/>
      </w:pPr>
      <w:r>
        <w:rPr/>
        <w:t xml:space="preserve">2) Ciphertext-policy ABE and efficiency</w:t>
      </w:r>
    </w:p>
    <w:p>
      <w:pPr>
        <w:pStyle w:val="Normal"/>
      </w:pPr>
      <w:r>
        <w:rPr/>
        <w:t xml:space="preserve">CP-ABE remains the dominant paradigm for owner-controlled, fine-grained access. The 2026 black-box-traceable revocable CP-ABE [4] shows that revocation and traitor-tracing can coexist, and multi-cloud and file-hierarchy variants reduce ciphertext/key sizes. Their achievement is expressive access with improved practicality. Their drawback is that decryption cost still grows with policy complexity and most remain single-authority with classical pairing assumptions, leaving key escrow and post-quantum exposure unresolved.</w:t>
      </w:r>
    </w:p>
    <w:p>
      <w:pPr>
        <w:pStyle w:val="Heading3"/>
        <w:keepNext/>
      </w:pPr>
      <w:r>
        <w:rPr/>
        <w:t xml:space="preserve">3) User and attribute revocation</w:t>
      </w:r>
    </w:p>
    <w:p>
      <w:pPr>
        <w:pStyle w:val="Normal"/>
      </w:pPr>
      <w:r>
        <w:rPr/>
        <w:t xml:space="preserve">Revocation is the most active recent sub-area. Puncturable CP-ABE [5] uses puncturable encryption plus a proxy to revoke users cheaply; the dynamic decentralised scheme [6] and the escrow-free blockchain-aided scheme [7] add flexibility and remove the single trusted authority; MA-RUABE [8] adds traceability and direct revocation for e-health. Their collective achievement is faster, more flexible revocation without full re-encryption. Their drawbacks are added key-update state, reliance on semi-trusted proxies or on-chain cost, and, in most cases, no post-quantum guarantee — which frames our lightweight attribute-versioning-with-lazy-re-wrap approach and its cost model.</w:t>
      </w:r>
    </w:p>
    <w:p>
      <w:pPr>
        <w:pStyle w:val="Heading3"/>
        <w:keepNext/>
      </w:pPr>
      <w:r>
        <w:rPr/>
        <w:t xml:space="preserve">4) Multi-authority and blockchain-assisted ABE</w:t>
      </w:r>
    </w:p>
    <w:p>
      <w:pPr>
        <w:pStyle w:val="Normal"/>
      </w:pPr>
      <w:r>
        <w:rPr/>
        <w:t xml:space="preserve">To remove the single-authority bottleneck, recent work distributes trust across authorities and records validation data on-chain. The escrow-free EHR scheme [17], the traceable/revocable mineral-industry scheme, and the 2021 survey [18] show decentralised key management with auditability. Their achievement is eliminating key escrow and single points of failure. Their drawbacks are blockchain latency/throughput and cross-authority coordination overhead, which is why full multi-authority operation is positioned as future work in our scope.</w:t>
      </w:r>
    </w:p>
    <w:p>
      <w:pPr>
        <w:pStyle w:val="Heading3"/>
        <w:keepNext/>
      </w:pPr>
      <w:r>
        <w:rPr/>
        <w:t xml:space="preserve">5) Attribute-based searchable encryption</w:t>
      </w:r>
    </w:p>
    <w:p>
      <w:pPr>
        <w:pStyle w:val="Normal"/>
      </w:pPr>
      <w:r>
        <w:rPr/>
        <w:t xml:space="preserve">Search over encrypted data under access control is increasingly practical. Verifiable attribute-based keyword search for PHRs [9], traceable multi-authority Boolean search (TMABKS) [10], and time-bounded keyword search [11] enable authorised, verifiable search without decrypting. Their achievement is fine-grained search with result verification. Their drawbacks are token-privacy risks, index maintenance cost, and limited scalability, anchoring our searchability gap while keeping terabyte-scale search out of scope.</w:t>
      </w:r>
    </w:p>
    <w:p>
      <w:pPr>
        <w:pStyle w:val="Heading3"/>
        <w:keepNext/>
      </w:pPr>
      <w:r>
        <w:rPr/>
        <w:t xml:space="preserve">6) Post-quantum / lattice-based ABE</w:t>
      </w:r>
    </w:p>
    <w:p>
      <w:pPr>
        <w:pStyle w:val="Normal"/>
      </w:pPr>
      <w:r>
        <w:rPr/>
        <w:t xml:space="preserve">Because RSA/ECC fall to Shor’s algorithm, lattice-based ABE over LWE/Ring-LWE is now the leading post-quantum direction. The IEEE survey [13] maps the design space; quantum-resistant traceable-revocable CP-ABE [12], R-LWE CP-ABE with lazy revocation [14], and key-exposure-resistant RABE [15] show working constructions, while BL-ABSE [16] unifies post-quantum security, search, revocation and auditing. ML-KEM (CRYSTALS-Kyber, NIST FIPS 203) benchmarks [20] confirm practicality. Their achievement is quantum resistance with fine-grained control; their drawback is larger key/ciphertext sizes and higher computation, which motivates our incremental post-quantum-readiness objective rather than a full lattice rebuild.</w:t>
      </w:r>
    </w:p>
    <w:p>
      <w:pPr>
        <w:pStyle w:val="Heading2"/>
        <w:keepNext/>
      </w:pPr>
      <w:r>
        <w:rPr/>
        <w:t xml:space="preserve">D. Comparative Synthesis</w:t>
      </w:r>
    </w:p>
    <w:p>
      <w:pPr>
        <w:pStyle w:val="Normal"/>
      </w:pPr>
      <w:r>
        <w:rPr>
          <w:i/>
        </w:rPr>
        <w:t xml:space="preserve">Table II positions representative recent schemes against the five properties this project seeks to combine. No single recent scheme provides all five together.</w:t>
      </w:r>
    </w:p>
    <w:tbl>
      <w:tblPr>
        <w:tblW w:w="10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2760"/>
        <w:gridCol w:w="1500"/>
        <w:gridCol w:w="1400"/>
        <w:gridCol w:w="1400"/>
        <w:gridCol w:w="1400"/>
        <w:gridCol w:w="1600"/>
      </w:tblGrid>
      <w:tr>
        <w:trPr>
          <w:tblHeader/>
        </w:trPr>
        <w:tc>
          <w:tcPr>
            <w:tcW w:w="276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Scheme / line</w:t>
            </w:r>
          </w:p>
        </w:tc>
        <w:tc>
          <w:tcPr>
            <w:tcW w:w="15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Fine-grained</w:t>
            </w:r>
          </w:p>
        </w:tc>
        <w:tc>
          <w:tcPr>
            <w:tcW w:w="14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Fast revoke</w:t>
            </w:r>
          </w:p>
        </w:tc>
        <w:tc>
          <w:tcPr>
            <w:tcW w:w="14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Searchable</w:t>
            </w:r>
          </w:p>
        </w:tc>
        <w:tc>
          <w:tcPr>
            <w:tcW w:w="14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Post-quantum</w:t>
            </w:r>
          </w:p>
        </w:tc>
        <w:tc>
          <w:tcPr>
            <w:tcW w:w="16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Decentralised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Hybrid AES/ECC [1], [3]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 [2]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CP-ABE efficiency [4]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Revocation-focused [5]–[8]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MA / blockchain [17], [18]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 [10]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Searchable ABE [9]–[11]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Lattice ABE [12]–[16]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 [16]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Partial</w:t>
            </w:r>
          </w:p>
        </w:tc>
      </w:tr>
      <w:tr>
        <w:tc>
          <w:tcPr>
            <w:tcW w:w="2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This project (target)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Yes (scoped)</w:t>
            </w:r>
          </w:p>
        </w:tc>
        <w:tc>
          <w:tcPr>
            <w:tcW w:w="1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Ready</w:t>
            </w:r>
          </w:p>
        </w:tc>
        <w:tc>
          <w:tcPr>
            <w:tcW w:w="16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Future work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2"/>
        <w:keepNext/>
      </w:pPr>
      <w:r>
        <w:rPr/>
        <w:t xml:space="preserve">E. Identified Research Gaps</w:t>
      </w:r>
    </w:p>
    <w:p>
      <w:pPr>
        <w:pStyle w:val="Normal"/>
      </w:pPr>
      <w:r>
        <w:rPr>
          <w:i/>
        </w:rPr>
        <w:t xml:space="preserve">Table III maps the synthesised gaps to the recent work that leaves each open.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420"/>
        <w:gridCol w:w="3400"/>
        <w:gridCol w:w="2700"/>
        <w:gridCol w:w="1140"/>
        <w:gridCol w:w="1700"/>
      </w:tblGrid>
      <w:tr>
        <w:trPr>
          <w:tblHeader/>
        </w:trPr>
        <w:tc>
          <w:tcPr>
            <w:tcW w:w="42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w="34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Research Gap</w:t>
            </w:r>
          </w:p>
        </w:tc>
        <w:tc>
          <w:tcPr>
            <w:tcW w:w="27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Domain Impact</w:t>
            </w:r>
          </w:p>
        </w:tc>
        <w:tc>
          <w:tcPr>
            <w:tcW w:w="114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Priority</w:t>
            </w:r>
          </w:p>
        </w:tc>
        <w:tc>
          <w:tcPr>
            <w:tcW w:w="17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Recent Refs.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3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Real-time revocation and key-update efficiency</w:t>
            </w:r>
          </w:p>
        </w:tc>
        <w:tc>
          <w:tcPr>
            <w:tcW w:w="2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Enterprise, healthcare, IoV/IoT</w:t>
            </w:r>
          </w:p>
        </w:tc>
        <w:tc>
          <w:tcPr>
            <w:tcW w:w="11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Critical</w:t>
            </w:r>
          </w:p>
        </w:tc>
        <w:tc>
          <w:tcPr>
            <w:tcW w:w="1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[5], [6], [7], [8]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3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Scalability of multi-authority ABE</w:t>
            </w:r>
          </w:p>
        </w:tc>
        <w:tc>
          <w:tcPr>
            <w:tcW w:w="2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Federated healthcare, consortia</w:t>
            </w:r>
          </w:p>
        </w:tc>
        <w:tc>
          <w:tcPr>
            <w:tcW w:w="11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w="1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[17], [18]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3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Integrating post-quantum hybrid encryption</w:t>
            </w:r>
          </w:p>
        </w:tc>
        <w:tc>
          <w:tcPr>
            <w:tcW w:w="2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Long-horizon compliance</w:t>
            </w:r>
          </w:p>
        </w:tc>
        <w:tc>
          <w:tcPr>
            <w:tcW w:w="11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Critical</w:t>
            </w:r>
          </w:p>
        </w:tc>
        <w:tc>
          <w:tcPr>
            <w:tcW w:w="1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[12], [13], [16], [20]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3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Searchable encryption under ABE control</w:t>
            </w:r>
          </w:p>
        </w:tc>
        <w:tc>
          <w:tcPr>
            <w:tcW w:w="2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Healthcare, finance search</w:t>
            </w:r>
          </w:p>
        </w:tc>
        <w:tc>
          <w:tcPr>
            <w:tcW w:w="11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w="1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[9], [10], [11]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3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Integrity verification without decryption</w:t>
            </w:r>
          </w:p>
        </w:tc>
        <w:tc>
          <w:tcPr>
            <w:tcW w:w="2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Regulated cloud storage</w:t>
            </w:r>
          </w:p>
        </w:tc>
        <w:tc>
          <w:tcPr>
            <w:tcW w:w="11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w="1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[2], [9]</w:t>
            </w:r>
          </w:p>
        </w:tc>
      </w:tr>
      <w:tr>
        <w:tc>
          <w:tcPr>
            <w:tcW w:w="42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w="34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Unified framework across all properties</w:t>
            </w:r>
          </w:p>
        </w:tc>
        <w:tc>
          <w:tcPr>
            <w:tcW w:w="2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Multi-tenant regulated clouds</w:t>
            </w:r>
          </w:p>
        </w:tc>
        <w:tc>
          <w:tcPr>
            <w:tcW w:w="114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w="1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[16]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2"/>
        <w:keepNext/>
      </w:pPr>
      <w:r>
        <w:rPr/>
        <w:t xml:space="preserve">F. Priority Gaps Targeted</w:t>
      </w:r>
    </w:p>
    <w:p>
      <w:pPr>
        <w:pStyle w:val="Normal"/>
      </w:pPr>
      <w:r>
        <w:rPr/>
        <w:t xml:space="preserve">From this list the project focuses on three: (i) real-time revocation and key-update efficiency, the most pressing operational gap [5]–[8]; (ii) post-quantum readiness, the highest long-run impact given ten-to-thirty-year compliance horizons [12], [13], [20]; and (iii) searchability alongside access control, a central usability obstacle for encrypted-by-default systems [9]–[11].</w:t>
      </w:r>
    </w:p>
    <w:p>
      <w:pPr>
        <w:pStyle w:val="Heading1"/>
        <w:keepNext/>
      </w:pPr>
      <w:r>
        <w:rPr/>
        <w:t xml:space="preserve">III. Objectives</w:t>
      </w:r>
    </w:p>
    <w:p>
      <w:pPr>
        <w:pStyle w:val="Heading2"/>
        <w:keepNext/>
      </w:pPr>
      <w:r>
        <w:rPr/>
        <w:t xml:space="preserve">A. Primary Objective</w:t>
      </w:r>
    </w:p>
    <w:p>
      <w:pPr>
        <w:pStyle w:val="Normal"/>
      </w:pPr>
      <w:r>
        <w:rPr/>
        <w:t xml:space="preserve">To design, build, and evaluate a privacy-preserving cloud-storage framework in which files are encrypted on the client before upload — using hybrid AES-256-GCM and RSA-OAEP — and in which the ability to decrypt is bound to a user’s attributes through a ciphertext-policy ABE (CP-ABE) layer, with NIST-model attribute-based access control (ABAC) enforcement layered on top.</w:t>
      </w:r>
    </w:p>
    <w:p>
      <w:pPr>
        <w:pStyle w:val="Heading2"/>
        <w:keepNext/>
      </w:pPr>
      <w:r>
        <w:rPr/>
        <w:t xml:space="preserve">B. Specific Objectives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Confidentiality (O1)</w:t>
      </w:r>
      <w:r>
        <w:rPr/>
        <w:t xml:space="preserve"> — encrypt every file with AES-256-GCM so the cloud only ever sees opaque ciphertext.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Cryptographic authorisation (O2)</w:t>
      </w:r>
      <w:r>
        <w:rPr/>
        <w:t xml:space="preserve"> — wrap each file’s data-encryption key (DEK) under a CP-ABE access policy so only users whose attributes satisfy the policy can recover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Context-aware enforcement (O3)</w:t>
      </w:r>
      <w:r>
        <w:rPr/>
        <w:t xml:space="preserve"> — add an ABAC policy-decision and enforcement layer reasoning over subject, object, action, and environment attributes [19].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Efficient revocation (O4)</w:t>
      </w:r>
      <w:r>
        <w:rPr/>
        <w:t xml:space="preserve"> — use attribute and key versioning with lazy re-wrapping so revoking a user never requires re-encrypting the underlying files [5], [6].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Integrity and authenticity (O5)</w:t>
      </w:r>
      <w:r>
        <w:rPr/>
        <w:t xml:space="preserve"> — guarantee tamper detection via the GCM tag and SHA-256, and non-repudiation via RSA-PSS signatures.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Evaluation (O6)</w:t>
      </w:r>
      <w:r>
        <w:rPr/>
        <w:t xml:space="preserve"> — benchmark encryption, key-wrapping, and end-to-end latency as file size and policy complexity vary.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Publishable contribution (O7)</w:t>
      </w:r>
      <w:r>
        <w:rPr/>
        <w:t xml:space="preserve"> — deliver a measurable contribution — the three-tier key-wrapping model and its revocation cost model — that advances the real-time-revocation gap [5]–[8].</w:t>
      </w:r>
    </w:p>
    <w:p>
      <w:pPr>
        <w:pStyle w:val="Heading1"/>
        <w:keepNext/>
      </w:pPr>
      <w:r>
        <w:rPr/>
        <w:t xml:space="preserve">IV. Scope</w:t>
      </w:r>
    </w:p>
    <w:p>
      <w:pPr>
        <w:pStyle w:val="Heading2"/>
        <w:keepNext/>
      </w:pPr>
      <w:r>
        <w:rPr/>
        <w:t xml:space="preserve">A. In Scope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Hybrid AES-256-GCM + RSA-OAEP encryption to protect files and their encryption keys.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A ciphertext-policy ABE layer (implemented via Charm-Crypto) for attribute-based key wrapping.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An ABAC policy engine — PDP, PEP, PIP, and PAP — built in Flask.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MongoDB for metadata, with AWS S3 or Azure Blob as the object store.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Attribute-versioning-based revocation with an audit log.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A working healthcare-records use case plus a performance-evaluation suite.</w:t>
      </w:r>
    </w:p>
    <w:p>
      <w:pPr>
        <w:pStyle w:val="Heading2"/>
        <w:keepNext/>
      </w:pPr>
      <w:r>
        <w:rPr/>
        <w:t xml:space="preserve">B. Out of Scope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Full production-scale multi-authority ABE (future work) [17], [18].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A complete post-quantum lattice-based ABE implementation (discussed; optionally prototyped in limited form) [12], [16].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Encrypted keyword search at multi-terabyte scale (future work) [10].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A production-grade UI — the frontend is a functional, minimal client.</w:t>
      </w:r>
    </w:p>
    <w:p>
      <w:pPr>
        <w:pStyle w:val="Heading2"/>
        <w:keepNext/>
      </w:pPr>
      <w:r>
        <w:rPr/>
        <w:t xml:space="preserve">C. Product-Development Scope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1800"/>
        <w:gridCol w:w="5560"/>
        <w:gridCol w:w="2000"/>
      </w:tblGrid>
      <w:tr>
        <w:trPr>
          <w:tblHeader/>
        </w:trPr>
        <w:tc>
          <w:tcPr>
            <w:tcW w:w="18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w="556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tcW w:w="20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c>
          <w:tcPr>
            <w:tcW w:w="18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Crypto core</w:t>
            </w:r>
          </w:p>
        </w:tc>
        <w:tc>
          <w:tcPr>
            <w:tcW w:w="55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AES/RSA/CP-ABE hybrid module with tests</w:t>
            </w:r>
          </w:p>
        </w:tc>
        <w:tc>
          <w:tcPr>
            <w:tcW w:w="2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Fully working</w:t>
            </w:r>
          </w:p>
        </w:tc>
      </w:tr>
      <w:tr>
        <w:tc>
          <w:tcPr>
            <w:tcW w:w="18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w="55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Flask REST API with JWT and ABAC PDP</w:t>
            </w:r>
          </w:p>
        </w:tc>
        <w:tc>
          <w:tcPr>
            <w:tcW w:w="2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Fully working</w:t>
            </w:r>
          </w:p>
        </w:tc>
      </w:tr>
      <w:tr>
        <w:tc>
          <w:tcPr>
            <w:tcW w:w="18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Storage</w:t>
            </w:r>
          </w:p>
        </w:tc>
        <w:tc>
          <w:tcPr>
            <w:tcW w:w="55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S3/Azure adapter with MongoDB metadata</w:t>
            </w:r>
          </w:p>
        </w:tc>
        <w:tc>
          <w:tcPr>
            <w:tcW w:w="2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Fully working</w:t>
            </w:r>
          </w:p>
        </w:tc>
      </w:tr>
      <w:tr>
        <w:tc>
          <w:tcPr>
            <w:tcW w:w="18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Revocation</w:t>
            </w:r>
          </w:p>
        </w:tc>
        <w:tc>
          <w:tcPr>
            <w:tcW w:w="55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Attribute versioning and lazy re-wrap</w:t>
            </w:r>
          </w:p>
        </w:tc>
        <w:tc>
          <w:tcPr>
            <w:tcW w:w="2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Prototype</w:t>
            </w:r>
          </w:p>
        </w:tc>
      </w:tr>
      <w:tr>
        <w:tc>
          <w:tcPr>
            <w:tcW w:w="18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w="55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Upload / download / share / policy UI</w:t>
            </w:r>
          </w:p>
        </w:tc>
        <w:tc>
          <w:tcPr>
            <w:tcW w:w="2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Demo-level</w:t>
            </w:r>
          </w:p>
        </w:tc>
      </w:tr>
      <w:tr>
        <w:tc>
          <w:tcPr>
            <w:tcW w:w="18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Evaluation</w:t>
            </w:r>
          </w:p>
        </w:tc>
        <w:tc>
          <w:tcPr>
            <w:tcW w:w="55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Benchmark scripts and graphs</w:t>
            </w:r>
          </w:p>
        </w:tc>
        <w:tc>
          <w:tcPr>
            <w:tcW w:w="2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Fully working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1"/>
        <w:keepNext/>
      </w:pPr>
      <w:r>
        <w:rPr/>
        <w:t xml:space="preserve">V. Novelty</w:t>
      </w:r>
    </w:p>
    <w:p>
      <w:pPr>
        <w:pStyle w:val="Heading2"/>
        <w:keepNext/>
      </w:pPr>
      <w:r>
        <w:rPr/>
        <w:t xml:space="preserve">A. Beyond a Re-Implementation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Three-tier key wrapping</w:t>
      </w:r>
      <w:r>
        <w:rPr/>
        <w:t xml:space="preserve"> — AES → CP-ABE → per-user RSA, giving both attribute-based authorisation and device-level binding, with a security argument for the extra layer.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Efficient revocation</w:t>
      </w:r>
      <w:r>
        <w:rPr/>
        <w:t xml:space="preserve"> — attribute versioning with lazy re-encryption, backed by a measured cost model, aimed at the most critical gap [5]–[8].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Defence-in-depth trust model</w:t>
      </w:r>
      <w:r>
        <w:rPr/>
        <w:t xml:space="preserve"> — ABAC enforces revocation instantly at the access layer but relies on that layer being trusted; CP-ABE enforces revocation cryptographically (unbypassable even by the server) but is expensive. We combine them so ABAC handles the fast path while CP-ABE guarantees confidentiality if enforcement is compromised.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Outsourced decryption</w:t>
      </w:r>
      <w:r>
        <w:rPr/>
        <w:t xml:space="preserve"> — moving heavy pairing computations to the server via a transformation key, leaving the client a light final step.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Post-quantum readiness</w:t>
      </w:r>
      <w:r>
        <w:rPr/>
        <w:t xml:space="preserve"> — evaluating ML-KEM (Kyber, NIST FIPS 203) and lattice-based ABE alongside RSA to prepare for quantum threats [12], [16], [20].</w:t>
      </w:r>
    </w:p>
    <w:p>
      <w:pPr>
        <w:pStyle w:val="Heading2"/>
        <w:keepNext/>
      </w:pPr>
      <w:r>
        <w:rPr/>
        <w:t xml:space="preserve">B. Multidisciplinary Aspects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Discipline</w:t>
            </w:r>
          </w:p>
        </w:tc>
        <w:tc>
          <w:tcPr>
            <w:tcW w:w="636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Contribution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Cryptography / Mathematics</w:t>
            </w:r>
          </w:p>
        </w:tc>
        <w:tc>
          <w:tcPr>
            <w:tcW w:w="6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Bilinear pairings, secret sharing (LSSS/Shamir), hardness-based security arguments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Software / Systems Engineering</w:t>
            </w:r>
          </w:p>
        </w:tc>
        <w:tc>
          <w:tcPr>
            <w:tcW w:w="6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Flask API, MongoDB, cloud SDKs, Docker, testing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Cloud / Distributed Systems</w:t>
            </w:r>
          </w:p>
        </w:tc>
        <w:tc>
          <w:tcPr>
            <w:tcW w:w="6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Object storage, presigned URLs, key vaults, scalability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Cybersecurity / Access Control</w:t>
            </w:r>
          </w:p>
        </w:tc>
        <w:tc>
          <w:tcPr>
            <w:tcW w:w="6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ABAC, threat modelling, defence-in-depth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Performance Engineering</w:t>
            </w:r>
          </w:p>
        </w:tc>
        <w:tc>
          <w:tcPr>
            <w:tcW w:w="6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Benchmarking methodology and statistical evaluation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2"/>
        <w:keepNext/>
      </w:pPr>
      <w:r>
        <w:rPr/>
        <w:t xml:space="preserve">C. Transdisciplinary Aspects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Healthcare &amp; regulation (HIPAA, GDPR, India’s DPDP Act): role, department, clearance, and time-of-day constraints are encoded directly into the cryptographic policy.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Law and compliance: non-repudiation, tamper-evident audit trails, and revocation map onto legal accountability.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Public policy, e-governance, and finance: the framework generalises to citizen and financial records.</w:t>
      </w:r>
    </w:p>
    <w:p>
      <w:pPr>
        <w:pStyle w:val="ListParagraph"/>
        <w:numPr>
          <w:ilvl w:val="0"/>
          <w:numId w:val="1"/>
        </w:numPr>
        <w:spacing w:after="60"/>
      </w:pPr>
      <w:r>
        <w:rPr/>
        <w:t xml:space="preserve">Human factors: policy-builder usability and key-custody decisions sit between security engineering and usability.</w:t>
      </w:r>
    </w:p>
    <w:p>
      <w:pPr>
        <w:pStyle w:val="Heading1"/>
        <w:keepNext/>
      </w:pPr>
      <w:r>
        <w:rPr/>
        <w:t xml:space="preserve">VI. Proposed System Architecture</w:t>
      </w:r>
    </w:p>
    <w:p>
      <w:pPr>
        <w:pStyle w:val="Normal"/>
      </w:pPr>
      <w:r>
        <w:rPr/>
        <w:t xml:space="preserve">The framework follows a client-centric, zero-trust design: all encryption and final decryption happen on the client, and the cloud never sees plaintext or unwrapped keys. Figure 1 shows the components and their interactions; Figure 2 shows the three-tier key hierarchy.</w:t>
      </w:r>
    </w:p>
    <w:p>
      <w:pPr>
        <w:pStyle w:val="Heading3"/>
        <w:keepNext/>
      </w:pPr>
      <w:r>
        <w:rPr/>
        <w:t xml:space="preserve">Figure 1 — Component and Data-Flow Architecture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680"/>
        <w:gridCol w:w="4680"/>
      </w:tblGrid>
      <w:tr>
        <w:tc>
          <w:tcPr>
            <w:tcW w:w="9360" w:type="dxa"/>
            <w:gridSpan w:val="2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CLIENT  —  Data Owner / User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AES-256-GCM file encryption   ·   DEK generation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RSA-OAEP device-key wrap   ·   RSA-PSS signing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Final (light) CP-ABE decryption step</w:t>
            </w:r>
          </w:p>
        </w:tc>
      </w:tr>
      <w:tr>
        <w:tc>
          <w:tcPr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spacing w:before="60" w:after="60" w:line="240" w:lineRule="auto"/>
            </w:pPr>
            <w:r>
              <w:rPr>
                <w:b/>
                <w:color w:val="2E74B5"/>
                <w:sz w:val="18"/>
                <w:szCs w:val="18"/>
              </w:rPr>
              <w:t xml:space="preserve">↓  Upload (encrypted file + wrapped DEK)          ↑  Download (transformed ciphertext)</w:t>
            </w:r>
          </w:p>
        </w:tc>
      </w:tr>
      <w:tr>
        <w:tc>
          <w:tcPr>
            <w:tcW w:w="468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BACKEND  —  Flask REST API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JWT authentication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ABAC engine:  PDP · PEP · PIP · PAP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CP-ABE key-wrap  ·  outsourced decryption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Revocation: versioning + lazy DEK re-wrap</w:t>
            </w:r>
          </w:p>
        </w:tc>
        <w:tc>
          <w:tcPr>
            <w:tcW w:w="468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ATTRIBUTE AUTHORITY (AA)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CP-ABE global setup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Attribute-key issuance  →  users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Key / attribute versioning</w:t>
            </w:r>
          </w:p>
        </w:tc>
      </w:tr>
      <w:tr>
        <w:tc>
          <w:tcPr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spacing w:before="60" w:after="60" w:line="240" w:lineRule="auto"/>
            </w:pPr>
            <w:r>
              <w:rPr>
                <w:b/>
                <w:color w:val="2E74B5"/>
                <w:sz w:val="18"/>
                <w:szCs w:val="18"/>
              </w:rPr>
              <w:t xml:space="preserve">↓  Backend persists ciphertext, metadata, wrapped keys &amp; audit log</w:t>
            </w:r>
          </w:p>
        </w:tc>
      </w:tr>
      <w:tr>
        <w:tc>
          <w:tcPr>
            <w:tcW w:w="468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MongoDB  —  Metadata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Access policies  ·  wrapped keys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Key versions  ·  audit log</w:t>
            </w:r>
          </w:p>
        </w:tc>
        <w:tc>
          <w:tcPr>
            <w:tcW w:w="468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OBJECT STORE  —  AWS S3 / Azure Blob</w:t>
            </w:r>
          </w:p>
          <w:p>
            <w:pPr>
              <w:jc w:val="center"/>
              <w:spacing w:after="20" w:line="240" w:lineRule="auto"/>
            </w:pPr>
            <w:r>
              <w:rPr>
                <w:sz w:val="16"/>
                <w:szCs w:val="16"/>
                <w:color w:val="404040"/>
              </w:rPr>
              <w:t xml:space="preserve">Encrypted file objects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Accessed via presigned URLs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3"/>
        <w:keepNext/>
      </w:pPr>
      <w:r>
        <w:rPr/>
        <w:t xml:space="preserve">Data Flows</w:t>
      </w:r>
    </w:p>
    <w:p>
      <w:pPr>
        <w:pStyle w:val="Normal"/>
      </w:pPr>
      <w:r>
        <w:rPr/>
        <w:t xml:space="preserve">Upload (owner): (1) generate a random DEK; (2) AES-256-GCM encrypt the file; (3) wrap the DEK under a CP-ABE access policy; (4) optionally wrap it under the recipient’s RSA public key for device binding; (5) compute SHA-256 and an RSA-PSS signature; (6) store the ciphertext in S3/Azure and the metadata, wrapped keys, policy, and version in MongoDB.</w:t>
      </w:r>
    </w:p>
    <w:p>
      <w:pPr>
        <w:pStyle w:val="Normal"/>
      </w:pPr>
      <w:r>
        <w:rPr/>
        <w:t xml:space="preserve">Download (user): (1) authenticate with JWT; (2) the ABAC PDP evaluates subject/object/action/environment attributes; (3) if permitted, the server performs the outsourced CP-ABE transformation using the user’s transform key; (4) the client completes the light final decryption to recover the DEK; (5) the client AES-GCM-decrypts the file and verifies the GCM tag and signature.</w:t>
      </w:r>
    </w:p>
    <w:p>
      <w:pPr>
        <w:pStyle w:val="Normal"/>
      </w:pPr>
      <w:r>
        <w:rPr/>
        <w:t xml:space="preserve">Revocation: increment the attribute/key version, then lazily re-wrap only the 32-byte DEK on the next access (no file re-encryption), while the ABAC layer denies the revoked user instantly in parallel.</w:t>
      </w:r>
    </w:p>
    <w:p>
      <w:pPr>
        <w:pStyle w:val="Heading3"/>
        <w:keepNext/>
      </w:pPr>
      <w:r>
        <w:rPr/>
        <w:t xml:space="preserve">Figure 2 — Three-Tier Key Hierarchy</w:t>
      </w:r>
    </w:p>
    <w:tbl>
      <w:tblPr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6000"/>
      </w:tblGrid>
      <w:tr>
        <w:tc>
          <w:tcPr>
            <w:tcW w:w="600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File  (plaintext)</w:t>
            </w:r>
          </w:p>
        </w:tc>
      </w:tr>
      <w:tr>
        <w:tc>
          <w:tcPr>
            <w:tcW w:w="6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spacing w:before="60" w:after="60" w:line="240" w:lineRule="auto"/>
            </w:pPr>
            <w:r>
              <w:rPr>
                <w:b/>
                <w:color w:val="2E74B5"/>
                <w:sz w:val="18"/>
                <w:szCs w:val="18"/>
              </w:rPr>
              <w:t xml:space="preserve">↓   AES-256-GCM encryption</w:t>
            </w:r>
          </w:p>
        </w:tc>
      </w:tr>
      <w:tr>
        <w:tc>
          <w:tcPr>
            <w:tcW w:w="600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Data-Encryption Key (DEK)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256-bit symmetric key</w:t>
            </w:r>
          </w:p>
        </w:tc>
      </w:tr>
      <w:tr>
        <w:tc>
          <w:tcPr>
            <w:tcW w:w="6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spacing w:before="60" w:after="60" w:line="240" w:lineRule="auto"/>
            </w:pPr>
            <w:r>
              <w:rPr>
                <w:b/>
                <w:color w:val="2E74B5"/>
                <w:sz w:val="18"/>
                <w:szCs w:val="18"/>
              </w:rPr>
              <w:t xml:space="preserve">↓   Tier 1 — wrap under CP-ABE access policy</w:t>
            </w:r>
          </w:p>
        </w:tc>
      </w:tr>
      <w:tr>
        <w:tc>
          <w:tcPr>
            <w:tcW w:w="600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CP-ABE-wrapped DEK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attribute-based authorisation</w:t>
            </w:r>
          </w:p>
        </w:tc>
      </w:tr>
      <w:tr>
        <w:tc>
          <w:tcPr>
            <w:tcW w:w="6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spacing w:before="60" w:after="60" w:line="240" w:lineRule="auto"/>
            </w:pPr>
            <w:r>
              <w:rPr>
                <w:b/>
                <w:color w:val="2E74B5"/>
                <w:sz w:val="18"/>
                <w:szCs w:val="18"/>
              </w:rPr>
              <w:t xml:space="preserve">↓   Tier 2 — wrap under per-user RSA-OAEP public key</w:t>
            </w:r>
          </w:p>
        </w:tc>
      </w:tr>
      <w:tr>
        <w:tc>
          <w:tcPr>
            <w:tcW w:w="600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4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RSA-wrapped DEK</w:t>
            </w:r>
          </w:p>
          <w:p>
            <w:pPr>
              <w:jc w:val="center"/>
              <w:spacing w:after="0" w:line="240" w:lineRule="auto"/>
            </w:pPr>
            <w:r>
              <w:rPr>
                <w:sz w:val="16"/>
                <w:szCs w:val="16"/>
                <w:color w:val="404040"/>
              </w:rPr>
              <w:t xml:space="preserve">device / user binding</w:t>
            </w:r>
          </w:p>
        </w:tc>
      </w:tr>
      <w:tr>
        <w:tc>
          <w:tcPr>
            <w:tcW w:w="6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spacing w:before="60" w:after="60" w:line="240" w:lineRule="auto"/>
            </w:pPr>
            <w:r>
              <w:rPr>
                <w:b/>
                <w:color w:val="2E74B5"/>
                <w:sz w:val="18"/>
                <w:szCs w:val="18"/>
              </w:rPr>
              <w:t xml:space="preserve">↓   Tier 3 — SHA-256 hash + RSA-PSS signature (integrity)</w:t>
            </w:r>
          </w:p>
        </w:tc>
      </w:tr>
      <w:tr>
        <w:tc>
          <w:tcPr>
            <w:tcW w:w="6000" w:type="dxa"/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</w:tcBorders>
            <w:shd w:val="clear" w:color="auto" w:fill="DBE5F1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color w:val="1F3864"/>
                <w:sz w:val="20"/>
                <w:szCs w:val="20"/>
              </w:rPr>
              <w:t xml:space="preserve">Stored ciphertext  +  wrapped keys  +  signature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1"/>
        <w:keepNext/>
      </w:pPr>
      <w:r>
        <w:rPr/>
        <w:t xml:space="preserve">VII. Feasibility Study and Analysis</w:t>
      </w:r>
    </w:p>
    <w:p>
      <w:pPr>
        <w:pStyle w:val="Heading2"/>
        <w:keepNext/>
      </w:pPr>
      <w:r>
        <w:rPr/>
        <w:t xml:space="preserve">A. Technical Feasibility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w="30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w="30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Assessment</w:t>
            </w:r>
          </w:p>
        </w:tc>
        <w:tc>
          <w:tcPr>
            <w:tcW w:w="336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Risk / Mitigation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AES / RSA / SHA-256 / signatures</w:t>
            </w:r>
          </w:p>
        </w:tc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High — mature libraries</w:t>
            </w:r>
          </w:p>
        </w:tc>
        <w:tc>
          <w:tcPr>
            <w:tcW w:w="3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Low risk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CP-ABE layer</w:t>
            </w:r>
          </w:p>
        </w:tc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Feasible via Charm-Crypto</w:t>
            </w:r>
          </w:p>
        </w:tc>
        <w:tc>
          <w:tcPr>
            <w:tcW w:w="3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Build complexity front-loaded with Docker in Week 1; documented simulated fallback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Flask + MongoDB + JWT + ABAC</w:t>
            </w:r>
          </w:p>
        </w:tc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High — standard stack</w:t>
            </w:r>
          </w:p>
        </w:tc>
        <w:tc>
          <w:tcPr>
            <w:tcW w:w="3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Low risk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S3 / Azure Blob integration</w:t>
            </w:r>
          </w:p>
        </w:tc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High — mature SDKs</w:t>
            </w:r>
          </w:p>
        </w:tc>
        <w:tc>
          <w:tcPr>
            <w:tcW w:w="3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Free-tier limits; test files kept small</w:t>
            </w:r>
          </w:p>
        </w:tc>
      </w:tr>
      <w:tr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Attribute-versioning revocation</w:t>
            </w:r>
          </w:p>
        </w:tc>
        <w:tc>
          <w:tcPr>
            <w:tcW w:w="30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Feasible — 32-byte re-wrap</w:t>
            </w:r>
          </w:p>
        </w:tc>
        <w:tc>
          <w:tcPr>
            <w:tcW w:w="33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Medium risk; scope limited to lazy re-wrap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2"/>
        <w:keepNext/>
      </w:pPr>
      <w:r>
        <w:rPr/>
        <w:t xml:space="preserve">B. Operational and Schedule Feasibility</w:t>
      </w:r>
    </w:p>
    <w:p>
      <w:pPr>
        <w:pStyle w:val="Normal"/>
      </w:pPr>
      <w:r>
        <w:rPr/>
        <w:t xml:space="preserve">Operational feasibility is assessed along three axes — schedule, task dependencies, and team capacity. The work is organised into five phases over a 15-week semester (Table IV). The critical path runs P1 → P2 → P3 → P5: the cryptographic core must exist before the CP-ABE envelope, which must exist before the API, on which the evaluation depends. Revocation (P4) branches from P3 and rejoins at P5.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700"/>
        <w:gridCol w:w="900"/>
        <w:gridCol w:w="3760"/>
        <w:gridCol w:w="2500"/>
        <w:gridCol w:w="1500"/>
      </w:tblGrid>
      <w:tr>
        <w:trPr>
          <w:tblHeader/>
        </w:trPr>
        <w:tc>
          <w:tcPr>
            <w:tcW w:w="7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w="9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w="376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Key tasks</w:t>
            </w:r>
          </w:p>
        </w:tc>
        <w:tc>
          <w:tcPr>
            <w:tcW w:w="25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tcW w:w="15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Depends on</w:t>
            </w:r>
          </w:p>
        </w:tc>
      </w:tr>
      <w:tr>
        <w:tc>
          <w:tcPr>
            <w:tcW w:w="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P1</w:t>
            </w:r>
          </w:p>
        </w:tc>
        <w:tc>
          <w:tcPr>
            <w:tcW w:w="9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1–3</w:t>
            </w:r>
          </w:p>
        </w:tc>
        <w:tc>
          <w:tcPr>
            <w:tcW w:w="3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Recent-literature review; AES-256-GCM + RSA-OAEP modules</w:t>
            </w:r>
          </w:p>
        </w:tc>
        <w:tc>
          <w:tcPr>
            <w:tcW w:w="2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Crypto primitives + report §II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w="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P2</w:t>
            </w:r>
          </w:p>
        </w:tc>
        <w:tc>
          <w:tcPr>
            <w:tcW w:w="9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4–6</w:t>
            </w:r>
          </w:p>
        </w:tc>
        <w:tc>
          <w:tcPr>
            <w:tcW w:w="3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CP-ABE layer via Charm in Docker; hybrid envelope</w:t>
            </w:r>
          </w:p>
        </w:tc>
        <w:tc>
          <w:tcPr>
            <w:tcW w:w="2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Working key-wrap module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w="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P3</w:t>
            </w:r>
          </w:p>
        </w:tc>
        <w:tc>
          <w:tcPr>
            <w:tcW w:w="9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7–9</w:t>
            </w:r>
          </w:p>
        </w:tc>
        <w:tc>
          <w:tcPr>
            <w:tcW w:w="3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Flask API, JWT, ABAC PDP/PEP/PIP/PAP, S3/Azure adapters</w:t>
            </w:r>
          </w:p>
        </w:tc>
        <w:tc>
          <w:tcPr>
            <w:tcW w:w="2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REST backend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P2</w:t>
            </w:r>
          </w:p>
        </w:tc>
      </w:tr>
      <w:tr>
        <w:tc>
          <w:tcPr>
            <w:tcW w:w="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P4</w:t>
            </w:r>
          </w:p>
        </w:tc>
        <w:tc>
          <w:tcPr>
            <w:tcW w:w="9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10–11</w:t>
            </w:r>
          </w:p>
        </w:tc>
        <w:tc>
          <w:tcPr>
            <w:tcW w:w="3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Sharing, versioned revocation, attribute-authority console</w:t>
            </w:r>
          </w:p>
        </w:tc>
        <w:tc>
          <w:tcPr>
            <w:tcW w:w="2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Revocation prototype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P3</w:t>
            </w:r>
          </w:p>
        </w:tc>
      </w:tr>
      <w:tr>
        <w:tc>
          <w:tcPr>
            <w:tcW w:w="7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P5</w:t>
            </w:r>
          </w:p>
        </w:tc>
        <w:tc>
          <w:tcPr>
            <w:tcW w:w="9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w="37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Minimal UI, benchmarking, security analysis, report + paper</w:t>
            </w:r>
          </w:p>
        </w:tc>
        <w:tc>
          <w:tcPr>
            <w:tcW w:w="2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Evaluation + final report</w:t>
            </w:r>
          </w:p>
        </w:tc>
        <w:tc>
          <w:tcPr>
            <w:tcW w:w="15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P3, P4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Normal"/>
      </w:pPr>
      <w:r>
        <w:rPr/>
        <w:t xml:space="preserve">Team capacity: the four members map to parallel workstreams — crypto core and CP-ABE (Kushagra, Vansh), backend API and ABAC engine (Vansh, Geetanshi), storage/metadata and revocation (Geetanshi, Himanshi), and evaluation, UI, and documentation (Himanshi, Kushagra). Pairing on each stream provides redundancy of knowledge.</w:t>
      </w:r>
    </w:p>
    <w:p>
      <w:pPr>
        <w:pStyle w:val="Normal"/>
      </w:pPr>
      <w:r>
        <w:rPr/>
        <w:t xml:space="preserve">Risk buffer: the schedule reserves the tail of P5 as slack, and the largest risk — building the CP-ABE toolchain — is front-loaded into Week 1 with a documented simulated fallback. With this dependency structure and team split, the project is operationally achievable within one semester.</w:t>
      </w:r>
    </w:p>
    <w:p>
      <w:pPr>
        <w:pStyle w:val="Heading2"/>
        <w:keepNext/>
      </w:pPr>
      <w:r>
        <w:rPr/>
        <w:t xml:space="preserve">C. Economic Feasibility</w:t>
      </w:r>
    </w:p>
    <w:p>
      <w:pPr>
        <w:pStyle w:val="Normal"/>
      </w:pPr>
      <w:r>
        <w:rPr/>
        <w:t xml:space="preserve">The framework can be built at near-zero cost: all components are open-source, cloud free tiers or student credits cover infrastructure, MongoDB runs locally, and benchmarking needs only a commodity laptop.</w:t>
      </w:r>
    </w:p>
    <w:p>
      <w:pPr>
        <w:pStyle w:val="Heading2"/>
        <w:keepNext/>
      </w:pPr>
      <w:r>
        <w:rPr/>
        <w:t xml:space="preserve">D. Security Feasibility</w:t>
      </w:r>
    </w:p>
    <w:tbl>
      <w:tblPr>
        <w:tblW w:w="93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Threat</w:t>
            </w:r>
          </w:p>
        </w:tc>
        <w:tc>
          <w:tcPr>
            <w:tcW w:w="6160" w:type="dxa"/>
            <w:shd w:val="clear" w:fill="1F3864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b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w="32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Honest-but-curious cloud</w:t>
            </w:r>
          </w:p>
        </w:tc>
        <w:tc>
          <w:tcPr>
            <w:tcW w:w="61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Files are AES-encrypted before upload, so the cloud sees only ciphertext</w:t>
            </w:r>
          </w:p>
        </w:tc>
      </w:tr>
      <w:tr>
        <w:tc>
          <w:tcPr>
            <w:tcW w:w="32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Insider at the application server</w:t>
            </w:r>
          </w:p>
        </w:tc>
        <w:tc>
          <w:tcPr>
            <w:tcW w:w="61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The DEK is CP-ABE-wrapped; the server never holds a user’s secret key; final decryption is client-side</w:t>
            </w:r>
          </w:p>
        </w:tc>
      </w:tr>
      <w:tr>
        <w:tc>
          <w:tcPr>
            <w:tcW w:w="32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Collusion between users</w:t>
            </w:r>
          </w:p>
        </w:tc>
        <w:tc>
          <w:tcPr>
            <w:tcW w:w="61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CP-ABE key randomisation prevents users from pooling keys</w:t>
            </w:r>
          </w:p>
        </w:tc>
      </w:tr>
      <w:tr>
        <w:tc>
          <w:tcPr>
            <w:tcW w:w="32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Data tampering</w:t>
            </w:r>
          </w:p>
        </w:tc>
        <w:tc>
          <w:tcPr>
            <w:tcW w:w="61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AES-GCM authentication tag, SHA-256, and RSA-PSS signature</w:t>
            </w:r>
          </w:p>
        </w:tc>
      </w:tr>
      <w:tr>
        <w:tc>
          <w:tcPr>
            <w:tcW w:w="32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Revoked user attempting access</w:t>
            </w:r>
          </w:p>
        </w:tc>
        <w:tc>
          <w:tcPr>
            <w:tcW w:w="61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Attribute versioning with lazy re-wrap, plus instant denial at the ABAC layer</w:t>
            </w:r>
          </w:p>
        </w:tc>
      </w:tr>
      <w:tr>
        <w:tc>
          <w:tcPr>
            <w:tcW w:w="320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Future quantum adversary</w:t>
            </w:r>
          </w:p>
        </w:tc>
        <w:tc>
          <w:tcPr>
            <w:tcW w:w="6160" w:type="dxa"/>
            <w:tcMar>
              <w:top w:w="30" w:type="dxa"/>
              <w:bottom w:w="30" w:type="dxa"/>
              <w:left w:w="80" w:type="dxa"/>
              <w:right w:w="80" w:type="dxa"/>
            </w:tcMar>
            <w:vAlign w:val="center"/>
          </w:tcPr>
          <w:p>
            <w:pPr>
              <w:spacing w:after="0" w:line="248" w:lineRule="auto"/>
            </w:pPr>
            <w:r>
              <w:rPr>
                <w:sz w:val="19"/>
                <w:szCs w:val="19"/>
              </w:rPr>
              <w:t xml:space="preserve">Documented risk; ML-KEM / lattice-based ABE evaluated as the migration path [12], [16], [20]</w:t>
            </w:r>
          </w:p>
        </w:tc>
      </w:tr>
    </w:tbl>
    <w:p>
      <w:pPr>
        <w:pStyle w:val="Normal"/>
        <w:spacing w:after="0"/>
      </w:pPr>
      <w:r>
        <w:rPr/>
        <w:t xml:space="preserve"/>
      </w:r>
    </w:p>
    <w:p>
      <w:pPr>
        <w:pStyle w:val="Heading2"/>
        <w:keepNext/>
      </w:pPr>
      <w:r>
        <w:rPr/>
        <w:t xml:space="preserve">E. Verdict</w:t>
      </w:r>
    </w:p>
    <w:p>
      <w:pPr>
        <w:pStyle w:val="Normal"/>
      </w:pPr>
      <w:r>
        <w:rPr/>
        <w:t xml:space="preserve">Taken together, the project is technically, economically, and operationally feasible within a single semester using open-source tools and cloud free tiers. The single biggest risk is building and running the CP-ABE toolchain; that risk is front-loaded into Week 1 with Docker, and a documented simulated fallback is kept in reserve.</w:t>
      </w:r>
    </w:p>
    <w:p>
      <w:pPr>
        <w:pStyle w:val="Heading1"/>
        <w:keepNext/>
      </w:pPr>
      <w:r>
        <w:rPr/>
        <w:t xml:space="preserve">References</w:t>
      </w:r>
    </w:p>
    <w:p>
      <w:pPr>
        <w:pStyle w:val="Normal"/>
        <w:spacing w:after="60"/>
      </w:pPr>
      <w:r>
        <w:rPr/>
        <w:t xml:space="preserve">[1] “A hybrid ECC-AES encryption framework for secure and efficient cloud-based data protection,” Scientific Reports (Nature), 2025. https://www.nature.com/articles/s41598-025-01315-5</w:t>
      </w:r>
    </w:p>
    <w:p>
      <w:pPr>
        <w:pStyle w:val="Normal"/>
        <w:spacing w:after="60"/>
      </w:pPr>
      <w:r>
        <w:rPr/>
        <w:t xml:space="preserve">[2] “A privacy-preserving cloud storage framework with hybrid encryption, homomorphic keyword search, and blockchain-based integrity verification,” Scientific Reports (Nature), 2026. https://www.nature.com/articles/s41598-026-48705-x</w:t>
      </w:r>
    </w:p>
    <w:p>
      <w:pPr>
        <w:pStyle w:val="Normal"/>
        <w:spacing w:after="60"/>
      </w:pPr>
      <w:r>
        <w:rPr/>
        <w:t xml:space="preserve">[3] “Hybrid AES-ECC Model for the Security of Data over Cloud Storage,” Electronics (MDPI), vol. 10, no. 21, 2021. https://www.mdpi.com/2079-9292/10/21/2673</w:t>
      </w:r>
    </w:p>
    <w:p>
      <w:pPr>
        <w:pStyle w:val="Normal"/>
        <w:spacing w:after="60"/>
      </w:pPr>
      <w:r>
        <w:rPr/>
        <w:t xml:space="preserve">[4] “Efficient revocable attribute-based encryption with black-box traceability,” International Journal of Information Security (Springer), 2026. https://link.springer.com/10.1007/s10207-026-01247-9</w:t>
      </w:r>
    </w:p>
    <w:p>
      <w:pPr>
        <w:pStyle w:val="Normal"/>
        <w:spacing w:after="60"/>
      </w:pPr>
      <w:r>
        <w:rPr/>
        <w:t xml:space="preserve">[5] “Puncturable ciphertext-policy attribute-based encryption for efficient and flexible user revocation,” Science China Information Sciences, 2023. https://link.springer.com/article/10.1007/s11432-022-3585-9</w:t>
      </w:r>
    </w:p>
    <w:p>
      <w:pPr>
        <w:pStyle w:val="Normal"/>
        <w:spacing w:after="60"/>
      </w:pPr>
      <w:r>
        <w:rPr/>
        <w:t xml:space="preserve">[6] “Revocable, dynamic and decentralized data access control in cloud storage,” The Journal of Supercomputing (Springer), 2022. https://link.springer.com/article/10.1007/s11227-021-04277-3</w:t>
      </w:r>
    </w:p>
    <w:p>
      <w:pPr>
        <w:pStyle w:val="Normal"/>
        <w:spacing w:after="60"/>
      </w:pPr>
      <w:r>
        <w:rPr/>
        <w:t xml:space="preserve">[7] “Revocable Blockchain-Aided Attribute-Based Encryption with Escrow-Free in Cloud Storage,” IEEE Transactions on Computers, 2023. https://www.computer.org/csdl/journal/tc/2023/07/10007041</w:t>
      </w:r>
    </w:p>
    <w:p>
      <w:pPr>
        <w:pStyle w:val="Normal"/>
        <w:spacing w:after="60"/>
      </w:pPr>
      <w:r>
        <w:rPr/>
        <w:t xml:space="preserve">[8] “Revocable and Traceable Undeniable Attribute-Based Encryption in Cloud-Enabled E-Health Systems (MA-RUABE),” Entropy (MDPI), vol. 26, no. 1, 2024. https://www.mdpi.com/1099-4300/26/1/45</w:t>
      </w:r>
    </w:p>
    <w:p>
      <w:pPr>
        <w:pStyle w:val="Normal"/>
        <w:spacing w:after="60"/>
      </w:pPr>
      <w:r>
        <w:rPr/>
        <w:t xml:space="preserve">[9] “Verifiable attribute-based keyword search over encrypted data for personal health records in cloud,” Journal of Cloud Computing (Springer), 2023. https://doi.org/10.1186/s13677-023-00451-5</w:t>
      </w:r>
    </w:p>
    <w:p>
      <w:pPr>
        <w:pStyle w:val="Normal"/>
        <w:spacing w:after="60"/>
      </w:pPr>
      <w:r>
        <w:rPr/>
        <w:t xml:space="preserve">[10] “TMABKS: a traceable multi-authority attribute-based Boolean keyword search for e-health records in cloud,” Cluster Computing (Springer), 2025. https://link.springer.com/article/10.1007/s10586-024-04913-6</w:t>
      </w:r>
    </w:p>
    <w:p>
      <w:pPr>
        <w:pStyle w:val="Normal"/>
        <w:spacing w:after="60"/>
      </w:pPr>
      <w:r>
        <w:rPr/>
        <w:t xml:space="preserve">[11] “An improved fine-grained ciphertext-policy temporary keyword search on encrypted data for secure cloud storage,” Scientific Reports (Nature), 2024. https://www.nature.com/articles/s41598-024-56112-3</w:t>
      </w:r>
    </w:p>
    <w:p>
      <w:pPr>
        <w:pStyle w:val="Normal"/>
        <w:spacing w:after="60"/>
      </w:pPr>
      <w:r>
        <w:rPr/>
        <w:t xml:space="preserve">[12] “Quantum-resistant traceable, revocable, and key escrow-free CP-ABE for cloud storage,” Peer-to-Peer Networking and Applications (Springer), 2025. https://link.springer.com/article/10.1007/s12083-025-02106-5</w:t>
      </w:r>
    </w:p>
    <w:p>
      <w:pPr>
        <w:pStyle w:val="Normal"/>
        <w:spacing w:after="60"/>
      </w:pPr>
      <w:r>
        <w:rPr/>
        <w:t xml:space="preserve">[13] “Survey of Post-Quantum Lattice-Based Ciphertext-Policy Attribute-Based Encryption Schemes for Cloud Storage,” IEEE Transactions on Services Computing, 2024. https://www.computer.org/csdl/journal/sc/2024/06/10715672</w:t>
      </w:r>
    </w:p>
    <w:p>
      <w:pPr>
        <w:pStyle w:val="Normal"/>
        <w:spacing w:after="60"/>
      </w:pPr>
      <w:r>
        <w:rPr/>
        <w:t xml:space="preserve">[14] “Lattice-Based CP-ABE Access Control with Lazy Assignment of Attributes and Attribute Revocation,” IET Information Security, 2024. https://doi.org/10.1049/2024/6963475</w:t>
      </w:r>
    </w:p>
    <w:p>
      <w:pPr>
        <w:pStyle w:val="Normal"/>
        <w:spacing w:after="60"/>
      </w:pPr>
      <w:r>
        <w:rPr/>
        <w:t xml:space="preserve">[15] “Efficient lattice-based revocable attribute-based encryption against decryption key exposure for cloud file sharing,” Journal of Cloud Computing (Springer), 2023. https://doi.org/10.1186/s13677-023-00414-w</w:t>
      </w:r>
    </w:p>
    <w:p>
      <w:pPr>
        <w:pStyle w:val="Normal"/>
        <w:spacing w:after="60"/>
      </w:pPr>
      <w:r>
        <w:rPr/>
        <w:t xml:space="preserve">[16] “Blockchain-Enabled Lattice-Based Attribute-Based Searchable Encryption with Instant Revocation (BL-ABSE),” Electronics (MDPI), 2026. https://www.mdpi.com/2079-9292/15/11/2471</w:t>
      </w:r>
    </w:p>
    <w:p>
      <w:pPr>
        <w:pStyle w:val="Normal"/>
        <w:spacing w:after="60"/>
      </w:pPr>
      <w:r>
        <w:rPr/>
        <w:t xml:space="preserve">[17] “Revocable blockchain-aided multi-authority access control with key escrow-free for EHR sharing,” The Journal of Supercomputing (Springer), 2025. https://link.springer.com/10.1007/s11227-025-07088-y</w:t>
      </w:r>
    </w:p>
    <w:p>
      <w:pPr>
        <w:pStyle w:val="Normal"/>
        <w:spacing w:after="60"/>
      </w:pPr>
      <w:r>
        <w:rPr/>
        <w:t xml:space="preserve">[18] “A survey on multi-authority and decentralized attribute-based encryption,” Journal of Ambient Intelligence and Humanized Computing (Springer), 2021. https://link.springer.com/article/10.1007/s12652-021-02915-5</w:t>
      </w:r>
    </w:p>
    <w:p>
      <w:pPr>
        <w:pStyle w:val="Normal"/>
        <w:spacing w:after="60"/>
      </w:pPr>
      <w:r>
        <w:rPr/>
        <w:t xml:space="preserve">[19] “A Framework for Attribute-Based Access Control in Processing Big Data with Multiple Sensitivities,” Applied Sciences (MDPI), vol. 13, no. 2, 2023. https://www.mdpi.com/2076-3417/13/2/1183</w:t>
      </w:r>
    </w:p>
    <w:p>
      <w:pPr>
        <w:pStyle w:val="Normal"/>
        <w:spacing w:after="60"/>
      </w:pPr>
      <w:r>
        <w:rPr/>
        <w:t xml:space="preserve">[20] “Performance and Storage Analysis of CRYSTALS-Kyber (ML-KEM) as a Post-Quantum Replacement for RSA and ECC,” arXiv, 2025. https://arxiv.org/html/2508.01694</w:t>
      </w:r>
    </w:p>
    <w:p>
      <w:pPr>
        <w:pStyle w:val="Normal"/>
        <w:spacing w:after="60"/>
      </w:pPr>
      <w:r>
        <w:rPr/>
        <w:t xml:space="preserve">[21] National Institute of Standards and Technology, “Module-Lattice-Based Key-Encapsulation Mechanism Standard,” FIPS 203, 2024. https://csrc.nist.gov/pubs/fips/203/final</w:t>
      </w:r>
    </w:p>
    <w:p>
      <w:pPr>
        <w:pStyle w:val="Normal"/>
      </w:pPr>
      <w:r>
        <w:rPr>
          <w:i/>
        </w:rPr>
        <w:t xml:space="preserve">Note: references were located via literature search; verify each DOI/venue/year before final submission. Source content was rephrased for compliance with licensing restrictions.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  <w:style w:type="paragraph" w:default="1" w:styleId="Normal">
    <w:name w:val="Normal"/>
    <w:pPr>
      <w:spacing w:after="140" w:line="276" w:lineRule="auto"/>
      <w:jc w:val="both"/>
    </w:pPr>
    <w:rPr>
      <w:rFonts w:ascii="Calibri" w:hAnsi="Calibri" w:cs="Calibri"/>
      <w:sz w:val="22"/>
      <w:szCs w:val="22"/>
    </w:rPr>
  </w:style>
  <w:style w:type="paragraph" w:styleId="Title">
    <w:name w:val="Title"/>
    <w:basedOn w:val="Normal"/>
    <w:pPr>
      <w:spacing w:before="0" w:after="80" w:line="276" w:lineRule="auto"/>
      <w:keepNext/>
    </w:pPr>
    <w:rPr>
      <w:rFonts w:ascii="Calibri" w:hAnsi="Calibri" w:cs="Calibri"/>
      <w:b/>
      <w:color w:val="1F3864"/>
      <w:sz w:val="44"/>
      <w:szCs w:val="44"/>
    </w:rPr>
  </w:style>
  <w:style w:type="paragraph" w:styleId="Subtitle">
    <w:name w:val="Subtitle"/>
    <w:basedOn w:val="Normal"/>
    <w:pPr>
      <w:spacing w:before="0" w:after="40" w:line="276" w:lineRule="auto"/>
      <w:keepNext/>
    </w:pPr>
    <w:rPr>
      <w:rFonts w:ascii="Calibri" w:hAnsi="Calibri" w:cs="Calibri"/>
      <w:i/>
      <w:color w:val="404040"/>
      <w:sz w:val="24"/>
      <w:szCs w:val="24"/>
    </w:rPr>
  </w:style>
  <w:style w:type="paragraph" w:styleId="Heading1">
    <w:name w:val="heading 1"/>
    <w:basedOn w:val="Normal"/>
    <w:pPr>
      <w:spacing w:before="280" w:after="120" w:line="276" w:lineRule="auto"/>
      <w:keepNext/>
    </w:pPr>
    <w:rPr>
      <w:rFonts w:ascii="Calibri" w:hAnsi="Calibri" w:cs="Calibri"/>
      <w:b/>
      <w:color w:val="1F3864"/>
      <w:sz w:val="30"/>
      <w:szCs w:val="30"/>
    </w:rPr>
  </w:style>
  <w:style w:type="paragraph" w:styleId="Heading2">
    <w:name w:val="heading 2"/>
    <w:basedOn w:val="Normal"/>
    <w:pPr>
      <w:spacing w:before="200" w:after="100" w:line="276" w:lineRule="auto"/>
      <w:keepNext/>
    </w:pPr>
    <w:rPr>
      <w:rFonts w:ascii="Calibri" w:hAnsi="Calibri" w:cs="Calibri"/>
      <w:b/>
      <w:color w:val="2E74B5"/>
      <w:sz w:val="26"/>
      <w:szCs w:val="26"/>
    </w:rPr>
  </w:style>
  <w:style w:type="paragraph" w:styleId="Heading3">
    <w:name w:val="heading 3"/>
    <w:basedOn w:val="Normal"/>
    <w:pPr>
      <w:spacing w:before="160" w:after="80" w:line="276" w:lineRule="auto"/>
      <w:keepNext/>
    </w:pPr>
    <w:rPr>
      <w:rFonts w:ascii="Calibri" w:hAnsi="Calibri" w:cs="Calibri"/>
      <w:b/>
      <w:i/>
      <w:color w:val="404040"/>
      <w:sz w:val="23"/>
      <w:szCs w:val="23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