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b/>
          <w:color w:val="2563EB"/>
          <w:sz w:val="18"/>
        </w:rPr>
        <w:t>CLASSIFICATION: OFFICIAL MANAGEMENT DISCUSSION &amp; ANALYSIS (MD&amp;A) AND FINANCIAL DISCLOSURES</w:t>
      </w:r>
    </w:p>
    <w:p>
      <w:pPr>
        <w:spacing w:before="80" w:after="40"/>
      </w:pPr>
      <w:r>
        <w:rPr>
          <w:rFonts w:ascii="Calibri" w:hAnsi="Calibri"/>
          <w:b/>
          <w:color w:val="0F172A"/>
          <w:sz w:val="52"/>
        </w:rPr>
        <w:t>AcroTech Dynamics Inc. — Q3 Fiscal 2025 Quarterly Financial &amp; Operations Report</w:t>
      </w:r>
    </w:p>
    <w:p>
      <w:pPr>
        <w:spacing w:after="320"/>
      </w:pPr>
      <w:r>
        <w:rPr>
          <w:rFonts w:ascii="Calibri" w:hAnsi="Calibri"/>
          <w:color w:val="64748B"/>
          <w:sz w:val="22"/>
        </w:rPr>
        <w:t>Entity: AcroTech Dynamics Inc. (Enterprise B2B SaaS &amp; AI Automation  |  Reporting Period: Three Months Ended September 30, 2025</w:t>
      </w:r>
    </w:p>
    <w:p>
      <w:pPr>
        <w:spacing w:after="32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0F172A"/>
          <w:sz w:val="30"/>
        </w:rPr>
        <w:t>1. Executive Summary &amp; Financial Highlights</w:t>
      </w:r>
    </w:p>
    <w:p>
      <w:r>
        <w:t>AcroTech Dynamics Inc. closed Q3 Fiscal 2025 with $184.5M in Annual Recurring Revenue (ARR), marking a +12.4% year-over-year increase. However, growth demonstrated a pronounced deceleration from the +22.0% YoY pace recorded in Q2. Gross margins contracted to 68.4% due to heightened GPU model inference expenditures, resulting in an operating loss of -$4.75M and a quarterly cash burn of -$4.80M.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F172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Key Metric</w:t>
            </w:r>
          </w:p>
        </w:tc>
        <w:tc>
          <w:tcPr>
            <w:tcW w:type="dxa" w:w="1728"/>
            <w:shd w:fill="0F172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Q3 Value</w:t>
            </w:r>
          </w:p>
        </w:tc>
        <w:tc>
          <w:tcPr>
            <w:tcW w:type="dxa" w:w="2016"/>
            <w:shd w:fill="0F172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YoY Change</w:t>
            </w:r>
          </w:p>
        </w:tc>
        <w:tc>
          <w:tcPr>
            <w:tcW w:type="dxa" w:w="3744"/>
            <w:shd w:fill="0F172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Audit Observation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rFonts w:ascii="Calibri" w:hAnsi="Calibri"/>
                <w:sz w:val="19"/>
              </w:rPr>
              <w:t>ARR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Calibri" w:hAnsi="Calibri"/>
                <w:sz w:val="19"/>
              </w:rPr>
              <w:t>$184.5M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Calibri" w:hAnsi="Calibri"/>
                <w:sz w:val="19"/>
              </w:rPr>
              <w:t>+12.4% YoY</w:t>
            </w:r>
          </w:p>
        </w:tc>
        <w:tc>
          <w:tcPr>
            <w:tcW w:type="dxa" w:w="3744"/>
            <w:shd w:fill="FFFFFF"/>
          </w:tcPr>
          <w:p>
            <w:r>
              <w:rPr>
                <w:rFonts w:ascii="Calibri" w:hAnsi="Calibri"/>
                <w:sz w:val="19"/>
              </w:rPr>
              <w:t>Decelerated from +22.0% YoY in Q2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alibri" w:hAnsi="Calibri"/>
                <w:sz w:val="19"/>
              </w:rPr>
              <w:t>GAAP Revenue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Calibri" w:hAnsi="Calibri"/>
                <w:sz w:val="19"/>
              </w:rPr>
              <w:t>$48.20M</w:t>
            </w:r>
          </w:p>
        </w:tc>
        <w:tc>
          <w:tcPr>
            <w:tcW w:type="dxa" w:w="2016"/>
            <w:shd w:fill="F8FAFC"/>
          </w:tcPr>
          <w:p>
            <w:r>
              <w:rPr>
                <w:rFonts w:ascii="Calibri" w:hAnsi="Calibri"/>
                <w:sz w:val="19"/>
              </w:rPr>
              <w:t>Subscription $44.1M</w:t>
            </w:r>
          </w:p>
        </w:tc>
        <w:tc>
          <w:tcPr>
            <w:tcW w:type="dxa" w:w="3744"/>
            <w:shd w:fill="F8FAFC"/>
          </w:tcPr>
          <w:p>
            <w:r>
              <w:rPr>
                <w:rFonts w:ascii="Calibri" w:hAnsi="Calibri"/>
                <w:sz w:val="19"/>
              </w:rPr>
              <w:t>Professional services $4.10M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rFonts w:ascii="Calibri" w:hAnsi="Calibri"/>
                <w:sz w:val="19"/>
              </w:rPr>
              <w:t>Gross Margin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Calibri" w:hAnsi="Calibri"/>
                <w:sz w:val="19"/>
              </w:rPr>
              <w:t>68.4%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Calibri" w:hAnsi="Calibri"/>
                <w:sz w:val="19"/>
              </w:rPr>
              <w:t>-580 bps YoY</w:t>
            </w:r>
          </w:p>
        </w:tc>
        <w:tc>
          <w:tcPr>
            <w:tcW w:type="dxa" w:w="3744"/>
            <w:shd w:fill="FFFFFF"/>
          </w:tcPr>
          <w:p>
            <w:r>
              <w:rPr>
                <w:rFonts w:ascii="Calibri" w:hAnsi="Calibri"/>
                <w:sz w:val="19"/>
              </w:rPr>
              <w:t>Compressed from 74.2% via 38% GPU cost surge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alibri" w:hAnsi="Calibri"/>
                <w:sz w:val="19"/>
              </w:rPr>
              <w:t>Operating Loss (EBIT)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Calibri" w:hAnsi="Calibri"/>
                <w:sz w:val="19"/>
              </w:rPr>
              <w:t>-$4.75M</w:t>
            </w:r>
          </w:p>
        </w:tc>
        <w:tc>
          <w:tcPr>
            <w:tcW w:type="dxa" w:w="2016"/>
            <w:shd w:fill="F8FAFC"/>
          </w:tcPr>
          <w:p>
            <w:r>
              <w:rPr>
                <w:rFonts w:ascii="Calibri" w:hAnsi="Calibri"/>
                <w:sz w:val="19"/>
              </w:rPr>
              <w:t>Widened YoY</w:t>
            </w:r>
          </w:p>
        </w:tc>
        <w:tc>
          <w:tcPr>
            <w:tcW w:type="dxa" w:w="3744"/>
            <w:shd w:fill="F8FAFC"/>
          </w:tcPr>
          <w:p>
            <w:r>
              <w:rPr>
                <w:rFonts w:ascii="Calibri" w:hAnsi="Calibri"/>
                <w:sz w:val="19"/>
              </w:rPr>
              <w:t>Widened from -$0.95M in Q3 FY24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rFonts w:ascii="Calibri" w:hAnsi="Calibri"/>
                <w:sz w:val="19"/>
              </w:rPr>
              <w:t>Net Loss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Calibri" w:hAnsi="Calibri"/>
                <w:sz w:val="19"/>
              </w:rPr>
              <w:t>-$5.70M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Calibri" w:hAnsi="Calibri"/>
                <w:sz w:val="19"/>
              </w:rPr>
              <w:t>Incl. $0.95M interest</w:t>
            </w:r>
          </w:p>
        </w:tc>
        <w:tc>
          <w:tcPr>
            <w:tcW w:type="dxa" w:w="3744"/>
            <w:shd w:fill="FFFFFF"/>
          </w:tcPr>
          <w:p>
            <w:r>
              <w:rPr>
                <w:rFonts w:ascii="Calibri" w:hAnsi="Calibri"/>
                <w:sz w:val="19"/>
              </w:rPr>
              <w:t>Debt service interest drag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alibri" w:hAnsi="Calibri"/>
                <w:sz w:val="19"/>
              </w:rPr>
              <w:t>Cash &amp; Runway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Calibri" w:hAnsi="Calibri"/>
                <w:sz w:val="19"/>
              </w:rPr>
              <w:t>$18.60M</w:t>
            </w:r>
          </w:p>
        </w:tc>
        <w:tc>
          <w:tcPr>
            <w:tcW w:type="dxa" w:w="2016"/>
            <w:shd w:fill="F8FAFC"/>
          </w:tcPr>
          <w:p>
            <w:r>
              <w:rPr>
                <w:rFonts w:ascii="Calibri" w:hAnsi="Calibri"/>
                <w:sz w:val="19"/>
              </w:rPr>
              <w:t>3.87 Quarters</w:t>
            </w:r>
          </w:p>
        </w:tc>
        <w:tc>
          <w:tcPr>
            <w:tcW w:type="dxa" w:w="3744"/>
            <w:shd w:fill="F8FAFC"/>
          </w:tcPr>
          <w:p>
            <w:r>
              <w:rPr>
                <w:rFonts w:ascii="Calibri" w:hAnsi="Calibri"/>
                <w:sz w:val="19"/>
              </w:rPr>
              <w:t>Quarterly cash burn at -$4.80M</w:t>
            </w:r>
          </w:p>
        </w:tc>
      </w:tr>
    </w:tbl>
    <w:p>
      <w:pPr>
        <w:spacing w:after="240"/>
      </w:pPr>
    </w:p>
    <w:p>
      <w:pPr>
        <w:pStyle w:val="Heading1"/>
        <w:spacing w:before="280" w:after="160"/>
      </w:pPr>
      <w:r>
        <w:rPr>
          <w:rFonts w:ascii="Calibri" w:hAnsi="Calibri"/>
          <w:b/>
          <w:color w:val="0F172A"/>
          <w:sz w:val="30"/>
        </w:rPr>
        <w:t>2. Debt &amp; Capital Structure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EF2F2"/>
            <w:tcBorders>
              <w:top w:val="none"/>
              <w:left w:val="single" w:sz="24" w:space="0" w:color="EF4444"/>
              <w:bottom w:val="none"/>
              <w:right w:val="none"/>
            </w:tcBorders>
          </w:tcPr>
          <w:p>
            <w:r>
              <w:rPr>
                <w:b/>
                <w:color w:val="DC2626"/>
              </w:rPr>
              <w:t xml:space="preserve">CRITICAL COVENANT NOTICE: </w:t>
            </w:r>
            <w:r>
              <w:rPr>
                <w:color w:val="450A0A"/>
              </w:rPr>
              <w:t>Current Senior Debt-to-ARR ratio stands at 0.1897x against a maximum contractual covenant cap of 0.2200x. The safety headroom buffer is limited to 0.0303x, which represents only $5.6M in ARR buffer before triggering mandatory lender default acceleration on the $35.0M senior term loan.</w:t>
            </w:r>
          </w:p>
        </w:tc>
      </w:tr>
    </w:tbl>
    <w:p>
      <w:pPr>
        <w:spacing w:after="160"/>
      </w:pPr>
    </w:p>
    <w:p>
      <w:pPr>
        <w:pStyle w:val="Heading1"/>
        <w:spacing w:before="280" w:after="160"/>
      </w:pPr>
      <w:r>
        <w:rPr>
          <w:rFonts w:ascii="Calibri" w:hAnsi="Calibri"/>
          <w:b/>
          <w:color w:val="0F172A"/>
          <w:sz w:val="30"/>
        </w:rPr>
        <w:t>3. Customer Concentration &amp; Churn Exposure</w:t>
      </w:r>
    </w:p>
    <w:p>
      <w:pPr>
        <w:pStyle w:val="ListBullet"/>
      </w:pPr>
      <w:r>
        <w:rPr>
          <w:b/>
        </w:rPr>
        <w:t xml:space="preserve">Top 3 Concentration: 38.5% of ARR — </w:t>
      </w:r>
      <w:r>
        <w:t>$71.03M across 3 strategic accounts</w:t>
      </w:r>
    </w:p>
    <w:p>
      <w:pPr>
        <w:pStyle w:val="ListBullet"/>
      </w:pPr>
      <w:r>
        <w:rPr>
          <w:b/>
        </w:rPr>
        <w:t xml:space="preserve">Customer #1 Exposure: $29.90M ARR (16.2%) — </w:t>
      </w:r>
      <w:r>
        <w:t>Global enterprise vendor RFP review expiring Q1 FY26</w:t>
      </w:r>
    </w:p>
    <w:p>
      <w:pPr>
        <w:pStyle w:val="ListBullet"/>
      </w:pPr>
      <w:r>
        <w:rPr>
          <w:b/>
        </w:rPr>
        <w:t xml:space="preserve">Net Revenue Retention (NRR): 101.2% — </w:t>
      </w:r>
      <w:r>
        <w:t>Contracted from 114.5% YoY (expansion stalled)</w:t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0F172A"/>
          <w:sz w:val="30"/>
        </w:rPr>
        <w:t>4. Key Risk Factors &amp; Authentication Matrix</w:t>
      </w:r>
    </w:p>
    <w:p>
      <w:pPr>
        <w:spacing w:after="160"/>
      </w:pPr>
      <w:r>
        <w:rPr>
          <w:b/>
          <w:color w:val="DC2626"/>
        </w:rPr>
        <w:t>[RF-01] Liquidity Runway &amp; Debt Covenant Headroom (CRITICAL)</w:t>
        <w:br/>
      </w:r>
      <w:r>
        <w:rPr>
          <w:color w:val="334155"/>
        </w:rPr>
        <w:t>• Impact: ARR deceleration below $159.1M or burn of $4.8M/qtr triggers covenant breach and insolvency in under 12 months.</w:t>
        <w:br/>
        <w:t>• Recommended Mitigation: Institute discretionary capex freeze, accelerate overdue enterprise collections, and begin debt restructuring.</w:t>
      </w:r>
    </w:p>
    <w:p>
      <w:pPr>
        <w:spacing w:after="160"/>
      </w:pPr>
      <w:r>
        <w:rPr>
          <w:b/>
          <w:color w:val="DC2626"/>
        </w:rPr>
        <w:t>[RF-02] Extreme Key Account Concentration (CRITICAL)</w:t>
        <w:br/>
      </w:r>
      <w:r>
        <w:rPr>
          <w:color w:val="334155"/>
        </w:rPr>
        <w:t>• Impact: Customer #1 ($29.9M ARR / 16.2%) loss breaches $35M senior debt covenant instantaneously.</w:t>
        <w:br/>
        <w:t>• Recommended Mitigation: Establish executive sponsor war-room, offer tailored multi-year SLA discounts, and ringfence key renewal.</w:t>
      </w:r>
    </w:p>
    <w:p>
      <w:pPr>
        <w:spacing w:after="160"/>
      </w:pPr>
      <w:r>
        <w:rPr>
          <w:b/>
          <w:color w:val="D97706"/>
        </w:rPr>
        <w:t>[RF-03] Cloud &amp; GPU Infrastructure Single Point of Failure (HIGH)</w:t>
        <w:br/>
      </w:r>
      <w:r>
        <w:rPr>
          <w:color w:val="334155"/>
        </w:rPr>
        <w:t>• Impact: 92% of production workload locked in us-east-1 with &gt;8h RTO failover and model API price exposure.</w:t>
        <w:br/>
        <w:t>• Recommended Mitigation: Architect multi-region active-passive failover and negotiate reserved compute capacity commitments.</w:t>
      </w:r>
    </w:p>
    <w:p>
      <w:pPr>
        <w:spacing w:after="160"/>
      </w:pPr>
      <w:r>
        <w:rPr>
          <w:b/>
          <w:color w:val="D97706"/>
        </w:rPr>
        <w:t>[RF-04] Unpatched High-Severity Telemetry Vulnerability (HIGH)</w:t>
        <w:br/>
      </w:r>
      <w:r>
        <w:rPr>
          <w:color w:val="334155"/>
        </w:rPr>
        <w:t>• Impact: Privilege escalation vulnerability in telemetry pipeline risks tenant boundary leakage and compliance fines.</w:t>
        <w:br/>
        <w:t>• Recommended Mitigation: Emergency patch rollout within 48 hours; mandate third-party penetration testing and SOC2 audit re-check.</w:t>
      </w:r>
    </w:p>
    <w:p>
      <w:pPr>
        <w:spacing w:after="160"/>
      </w:pPr>
      <w:r>
        <w:rPr>
          <w:b/>
          <w:color w:val="D97706"/>
        </w:rPr>
        <w:t>[RF-05] Regulatory Exposure under EU AI Act (MEDIUM)</w:t>
        <w:br/>
      </w:r>
      <w:r>
        <w:rPr>
          <w:color w:val="334155"/>
        </w:rPr>
        <w:t>• Impact: Autonomous inference pipelines on EU data require Annex III re-classification by mid-2026.</w:t>
        <w:br/>
        <w:t>• Recommended Mitigation: Appoint AI Governance officer and implement EU data isolation architecture before Q1 FY26.</w:t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0F172A"/>
          <w:sz w:val="30"/>
        </w:rPr>
        <w:t>5. Strategic Recommendations &amp; Management Sign-Off</w:t>
      </w:r>
    </w:p>
    <w:p>
      <w:pPr>
        <w:spacing w:after="120"/>
      </w:pPr>
      <w:r>
        <w:rPr>
          <w:b/>
          <w:color w:val="2563EB"/>
        </w:rPr>
        <w:t xml:space="preserve">Action 01: </w:t>
      </w:r>
      <w:r>
        <w:t>Immediate Debt &amp; Capital Protection: Open dialogue with senior lenders to secure covenant waiver / temporary ratio flexibility to 0.250x.</w:t>
      </w:r>
    </w:p>
    <w:p>
      <w:pPr>
        <w:spacing w:after="120"/>
      </w:pPr>
      <w:r>
        <w:rPr>
          <w:b/>
          <w:color w:val="2563EB"/>
        </w:rPr>
        <w:t xml:space="preserve">Action 02: </w:t>
      </w:r>
      <w:r>
        <w:t>Customer #1 Renewal Taskforce: Deploy CEO &amp; CTO led executive sponsorship program before RFP closure in Q1 FY26.</w:t>
      </w:r>
    </w:p>
    <w:p>
      <w:pPr>
        <w:spacing w:after="120"/>
      </w:pPr>
      <w:r>
        <w:rPr>
          <w:b/>
          <w:color w:val="2563EB"/>
        </w:rPr>
        <w:t xml:space="preserve">Action 03: </w:t>
      </w:r>
      <w:r>
        <w:t>GPU Cost Optimization &amp; Cloud Resilience: Implement prompt token caching, dynamic model fallback, and hot secondary failover outside us-east-1.</w:t>
      </w:r>
    </w:p>
    <w:p>
      <w:pPr>
        <w:spacing w:after="120"/>
      </w:pPr>
      <w:r>
        <w:rPr>
          <w:b/>
          <w:color w:val="2563EB"/>
        </w:rPr>
        <w:t xml:space="preserve">Action 04: </w:t>
      </w:r>
      <w:r>
        <w:t>Security &amp; Regulatory Rectification: Patch telemetry privilege escalation CVE and prepare technical documentation for EU AI Act Annex III.</w:t>
      </w:r>
    </w:p>
    <w:p>
      <w:pPr>
        <w:spacing w:after="320"/>
      </w:pPr>
    </w:p>
    <w:p>
      <w:r>
        <w:t>Prepared &amp; Approved by:</w:t>
        <w:br/>
        <w:t>Chief Financial Officer: __________________________    Date: ____________</w:t>
        <w:br/>
        <w:t>Chief Executive Officer: __________________________    Date: 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CONFIDENTIAL • FOR BOARD &amp; MANAGEMENT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AcroTech Dynamics Inc. (Enterprise B2B SaaS &amp; AI Automation — AcroTech Dynamics Inc. — Q3 Fiscal 2025 Quarterly Financial &amp; Operations Report | Three Months Ended September 30,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64748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