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 w:space="2"/>
        </w:pBdr>
        <w:spacing w:after="15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following sources are cited across the Design and Methodology, Testing and Results, and Conclusion chapters of this report.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Domain Literature on Marital Stability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L. K. Ackerson, I. Kawachi, E. M. Barbeau, and S. V. Subramanian, </w:t>
      </w:r>
      <w:r>
        <w:rPr>
          <w:rFonts w:ascii="Calibri" w:cs="Calibri" w:eastAsia="Calibri" w:hAnsi="Calibri"/>
          <w:sz w:val="21"/>
          <w:szCs w:val="21"/>
        </w:rPr>
        <w:t xml:space="preserve">“Effects of individual and proximate educational context on intimate partner violence: A population-based study of women in India,”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American Journal of Public Health</w:t>
      </w:r>
      <w:r>
        <w:rPr>
          <w:rFonts w:ascii="Calibri" w:cs="Calibri" w:eastAsia="Calibri" w:hAnsi="Calibri"/>
          <w:sz w:val="21"/>
          <w:szCs w:val="21"/>
        </w:rPr>
        <w:t xml:space="preserve">, vol. 98, no. 3, pp. 507–514, 2008.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N. G. Bennett, H. Goldstein, and R. Abzug, </w:t>
      </w:r>
      <w:r>
        <w:rPr>
          <w:rFonts w:ascii="Calibri" w:cs="Calibri" w:eastAsia="Calibri" w:hAnsi="Calibri"/>
          <w:sz w:val="21"/>
          <w:szCs w:val="21"/>
        </w:rPr>
        <w:t xml:space="preserve">“Spouse selection and marital instability,” Center Discussion Paper No. 582,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Economic Growth Center, Yale University</w:t>
      </w:r>
      <w:r>
        <w:rPr>
          <w:rFonts w:ascii="Calibri" w:cs="Calibri" w:eastAsia="Calibri" w:hAnsi="Calibri"/>
          <w:sz w:val="21"/>
          <w:szCs w:val="21"/>
        </w:rPr>
        <w:t xml:space="preserve">, New Haven, CT, 1989.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N. G. Shita and L. B. Zeleke, </w:t>
      </w:r>
      <w:r>
        <w:rPr>
          <w:rFonts w:ascii="Calibri" w:cs="Calibri" w:eastAsia="Calibri" w:hAnsi="Calibri"/>
          <w:sz w:val="21"/>
          <w:szCs w:val="21"/>
        </w:rPr>
        <w:t xml:space="preserve">“Predictors of divorce and duration of marriage among first marriage women in Dejne administrative town,”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Scientific Reports</w:t>
      </w:r>
      <w:r>
        <w:rPr>
          <w:rFonts w:ascii="Calibri" w:cs="Calibri" w:eastAsia="Calibri" w:hAnsi="Calibri"/>
          <w:sz w:val="21"/>
          <w:szCs w:val="21"/>
        </w:rPr>
        <w:t xml:space="preserve">, vol. 14, art. 8728, 2024.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Frank, </w:t>
      </w:r>
      <w:r>
        <w:rPr>
          <w:rFonts w:ascii="Calibri" w:cs="Calibri" w:eastAsia="Calibri" w:hAnsi="Calibri"/>
          <w:sz w:val="21"/>
          <w:szCs w:val="21"/>
        </w:rPr>
        <w:t xml:space="preserve">“Predicting marital stability: An approach for more characteristics,” 2024 (framework adopted for the six compatibility dimensions and 0–4 risk scoring).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Datasets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International Institute for Population Sciences (IIPS) and ICF,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National Family Health Survey (NFHS), India — Demographic and Health Survey Couples Recode (IACR7EFL)</w:t>
      </w:r>
      <w:r>
        <w:rPr>
          <w:rFonts w:ascii="Calibri" w:cs="Calibri" w:eastAsia="Calibri" w:hAnsi="Calibri"/>
          <w:sz w:val="21"/>
          <w:szCs w:val="21"/>
        </w:rPr>
        <w:t xml:space="preserve">. (Primary training dataset, ≈46,000–48,000 couples.)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Love-Marriage / Arranged-Marriage structured dataset (project dataset used to train and serialise the deployable XGBoost and LightGBM compatibility models).</w:t>
      </w:r>
    </w:p>
    <w:p>
      <w:pPr>
        <w:spacing w:after="80" w:before="17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Machine-Learning Methods, Libraries and Tools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F. Pedregosa et al., “Scikit-learn: Machine learning in Python,”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Journal of Machine Learning Research</w:t>
      </w:r>
      <w:r>
        <w:rPr>
          <w:rFonts w:ascii="Calibri" w:cs="Calibri" w:eastAsia="Calibri" w:hAnsi="Calibri"/>
          <w:sz w:val="21"/>
          <w:szCs w:val="21"/>
        </w:rPr>
        <w:t xml:space="preserve">, vol. 12, pp. 2825–2830, 2011.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T. Chen and C. Guestrin, “XGBoost: A scalable tree boosting system,”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Proc. 22nd ACM SIGKDD Int. Conf. Knowledge Discovery and Data Mining</w:t>
      </w:r>
      <w:r>
        <w:rPr>
          <w:rFonts w:ascii="Calibri" w:cs="Calibri" w:eastAsia="Calibri" w:hAnsi="Calibri"/>
          <w:sz w:val="21"/>
          <w:szCs w:val="21"/>
        </w:rPr>
        <w:t xml:space="preserve">, 2016, pp. 785–794.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G. Ke et al., “LightGBM: A highly efficient gradient boosting decision tree,”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Advances in Neural Information Processing Systems (NeurIPS)</w:t>
      </w:r>
      <w:r>
        <w:rPr>
          <w:rFonts w:ascii="Calibri" w:cs="Calibri" w:eastAsia="Calibri" w:hAnsi="Calibri"/>
          <w:sz w:val="21"/>
          <w:szCs w:val="21"/>
        </w:rPr>
        <w:t xml:space="preserve">, 2017.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N. V. Chawla, K. W. Bowyer, L. O. Hall, and W. P. Kegelmeyer, “SMOTE: Synthetic minority over-sampling technique,”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Journal of Artificial Intelligence Research</w:t>
      </w:r>
      <w:r>
        <w:rPr>
          <w:rFonts w:ascii="Calibri" w:cs="Calibri" w:eastAsia="Calibri" w:hAnsi="Calibri"/>
          <w:sz w:val="21"/>
          <w:szCs w:val="21"/>
        </w:rPr>
        <w:t xml:space="preserve">, vol. 16, pp. 321–357, 2002.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G. Lemaître, F. Nogueira, and C. K. Aridas, “Imbalanced-learn: A Python toolbox to tackle the curse of imbalanced datasets in machine learning,”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Journal of Machine Learning Research</w:t>
      </w:r>
      <w:r>
        <w:rPr>
          <w:rFonts w:ascii="Calibri" w:cs="Calibri" w:eastAsia="Calibri" w:hAnsi="Calibri"/>
          <w:sz w:val="21"/>
          <w:szCs w:val="21"/>
        </w:rPr>
        <w:t xml:space="preserve">, vol. 18, no. 17, pp. 1–5, 2017. (Provides SMOTETomek and random over-sampling.)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W. McKinney, “Data structures for statistical computing in Python,”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Proc. 9th Python in Science Conf.</w:t>
      </w:r>
      <w:r>
        <w:rPr>
          <w:rFonts w:ascii="Calibri" w:cs="Calibri" w:eastAsia="Calibri" w:hAnsi="Calibri"/>
          <w:sz w:val="21"/>
          <w:szCs w:val="21"/>
        </w:rPr>
        <w:t xml:space="preserve">, 2010, pp. 56–61. (pandas.)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C. R. Harris et al., “Array programming with NumPy,”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Nature</w:t>
      </w:r>
      <w:r>
        <w:rPr>
          <w:rFonts w:ascii="Calibri" w:cs="Calibri" w:eastAsia="Calibri" w:hAnsi="Calibri"/>
          <w:sz w:val="21"/>
          <w:szCs w:val="21"/>
        </w:rPr>
        <w:t xml:space="preserve">, vol. 585, pp. 357–362, 2020.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P. Virtanen et al., “SciPy 1.0: Fundamental algorithms for scientific computing in Python,”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Nature Methods</w:t>
      </w:r>
      <w:r>
        <w:rPr>
          <w:rFonts w:ascii="Calibri" w:cs="Calibri" w:eastAsia="Calibri" w:hAnsi="Calibri"/>
          <w:sz w:val="21"/>
          <w:szCs w:val="21"/>
        </w:rPr>
        <w:t xml:space="preserve">, vol. 17, pp. 261–272, 2020. (Used for t-test and chi-square validation.)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Matrimonial Matchmaking: A Machine Learning Approach — References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>Project Team</dc:creator>
  <cp:lastModifiedBy>Un-named</cp:lastModifiedBy>
  <cp:revision>1</cp:revision>
  <dcterms:created xsi:type="dcterms:W3CDTF">2026-06-14T19:25:07.146Z</dcterms:created>
  <dcterms:modified xsi:type="dcterms:W3CDTF">2026-06-14T19:25:07.158Z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