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Calibri" w:cs="Calibri" w:eastAsia="Calibri" w:hAnsi="Calibri"/>
          <w:b/>
          <w:bCs/>
          <w:color w:val="2E75B6"/>
          <w:sz w:val="24"/>
          <w:szCs w:val="24"/>
        </w:rPr>
        <w:t xml:space="preserve">Chapter 5</w:t>
      </w:r>
    </w:p>
    <w:p>
      <w:pPr>
        <w:pBdr>
          <w:bottom w:val="single" w:color="1F4E79" w:sz="8" w:space="3"/>
        </w:pBdr>
        <w:spacing w:after="200" w:before="40"/>
      </w:pPr>
      <w:r>
        <w:rPr>
          <w:rFonts w:ascii="Calibri" w:cs="Calibri" w:eastAsia="Calibri" w:hAnsi="Calibri"/>
          <w:b/>
          <w:bCs/>
          <w:color w:val="1F4E79"/>
          <w:sz w:val="38"/>
          <w:szCs w:val="38"/>
        </w:rPr>
        <w:t xml:space="preserve">Testing, Results and Discussion</w:t>
      </w:r>
    </w:p>
    <w:p>
      <w:pPr>
        <w:pStyle w:val="Heading1"/>
        <w:pBdr>
          <w:bottom w:val="single" w:color="2E75B6" w:sz="6" w:space="2"/>
        </w:pBdr>
        <w:spacing w:after="160" w:before="300"/>
      </w:pPr>
      <w:r>
        <w:rPr>
          <w:rFonts w:ascii="Calibri" w:cs="Calibri" w:eastAsia="Calibri" w:hAnsi="Calibri"/>
          <w:b/>
          <w:bCs/>
          <w:color w:val="1F4E79"/>
          <w:sz w:val="30"/>
          <w:szCs w:val="30"/>
        </w:rPr>
        <w:t xml:space="preserve">5.1  Introduction</w:t>
      </w:r>
    </w:p>
    <w:p>
      <w:pPr>
        <w:spacing w:after="120" w:line="288"/>
        <w:jc w:val="both"/>
      </w:pPr>
      <w:r>
        <w:rPr>
          <w:rFonts w:ascii="Calibri" w:cs="Calibri" w:eastAsia="Calibri" w:hAnsi="Calibri"/>
          <w:sz w:val="22"/>
          <w:szCs w:val="22"/>
        </w:rPr>
        <w:t xml:space="preserve">This chapter presents the testing of the matchmaking system and the empirical results obtained from its two layers, followed by a discussion of what those results mean for the project’s goals. Testing was conducted at two levels. The deterministic rule-based matching layer (Layer 1) was verified through functional test cases that confirm correct mutual-preference screening, activity filtering, and scoring behaviour. The machine-learning compatibility layer (Layer 2) was evaluated quantitatively on held-out data using classification metrics, with a deliberate emphasis on the high-risk minority class rather than on headline accuracy alone.</w:t>
      </w:r>
    </w:p>
    <w:p>
      <w:pPr>
        <w:spacing w:after="120" w:line="288"/>
        <w:jc w:val="both"/>
      </w:pPr>
      <w:r>
        <w:rPr>
          <w:rFonts w:ascii="Calibri" w:cs="Calibri" w:eastAsia="Calibri" w:hAnsi="Calibri"/>
          <w:sz w:val="22"/>
          <w:szCs w:val="22"/>
        </w:rPr>
        <w:t xml:space="preserve">A recurring theme throughout the results is the tension between overall accuracy and the detection of unstable / high-risk marriages. Because roughly three-quarters of couples in the dataset belong to the low-risk class, a model can achieve high accuracy simply by predicting “stable” for almost everyone — while failing at the one task that matters most for a safety-oriented matchmaker. The experiments below trace how the methodology was progressively refined to overcome this problem.</w:t>
      </w:r>
    </w:p>
    <w:p>
      <w:pPr>
        <w:pStyle w:val="Heading1"/>
        <w:pBdr>
          <w:bottom w:val="single" w:color="2E75B6" w:sz="6" w:space="2"/>
        </w:pBdr>
        <w:spacing w:after="160" w:before="300"/>
      </w:pPr>
      <w:r>
        <w:rPr>
          <w:rFonts w:ascii="Calibri" w:cs="Calibri" w:eastAsia="Calibri" w:hAnsi="Calibri"/>
          <w:b/>
          <w:bCs/>
          <w:color w:val="1F4E79"/>
          <w:sz w:val="30"/>
          <w:szCs w:val="30"/>
        </w:rPr>
        <w:t xml:space="preserve">5.2  Experimental Setup</w:t>
      </w:r>
    </w:p>
    <w:p>
      <w:pPr>
        <w:spacing w:after="120" w:line="288"/>
        <w:jc w:val="both"/>
      </w:pPr>
      <w:r>
        <w:rPr>
          <w:rFonts w:ascii="Calibri" w:cs="Calibri" w:eastAsia="Calibri" w:hAnsi="Calibri"/>
          <w:sz w:val="22"/>
          <w:szCs w:val="22"/>
        </w:rPr>
        <w:t xml:space="preserve">All machine-learning experiments were performed in Python using scikit-learn, XGBoost, LightGBM, and imbalanced-learn. The decoded DHS couples dataset was split into training and test partitions using an 80:20 stratified split, preserving the class ratio in both partitions. The test partition (approximately 9,298 couples) was held out and never exposed to resampling, so that all reported metrics reflect genuine generalisation. Imbalance-handling techniques (class weighting, SMOTETomek, random over-sampling) and decision-threshold tuning were applied only to the training data.</w:t>
      </w:r>
    </w:p>
    <w:p>
      <w:pPr>
        <w:pStyle w:val="Heading2"/>
        <w:spacing w:after="100" w:before="220"/>
      </w:pPr>
      <w:r>
        <w:rPr>
          <w:rFonts w:ascii="Calibri" w:cs="Calibri" w:eastAsia="Calibri" w:hAnsi="Calibri"/>
          <w:b/>
          <w:bCs/>
          <w:color w:val="2E75B6"/>
          <w:sz w:val="25"/>
          <w:szCs w:val="25"/>
        </w:rPr>
        <w:t xml:space="preserve">5.3  Evaluation Metrics</w:t>
      </w:r>
    </w:p>
    <w:p>
      <w:pPr>
        <w:spacing w:after="120" w:line="288"/>
        <w:jc w:val="both"/>
      </w:pPr>
      <w:r>
        <w:rPr>
          <w:rFonts w:ascii="Calibri" w:cs="Calibri" w:eastAsia="Calibri" w:hAnsi="Calibri"/>
          <w:sz w:val="22"/>
          <w:szCs w:val="22"/>
        </w:rPr>
        <w:t xml:space="preserve">Four standard classification metrics were used, computed per class and as macro / weighted averages:</w:t>
      </w:r>
    </w:p>
    <w:p>
      <w:pPr>
        <w:pStyle w:val="ListParagraph"/>
        <w:numPr>
          <w:ilvl w:val="0"/>
          <w:numId w:val="2"/>
        </w:numPr>
        <w:spacing w:after="60" w:line="282"/>
      </w:pPr>
      <w:r>
        <w:rPr>
          <w:rFonts w:ascii="Calibri" w:cs="Calibri" w:eastAsia="Calibri" w:hAnsi="Calibri"/>
          <w:b/>
          <w:bCs/>
          <w:sz w:val="22"/>
          <w:szCs w:val="22"/>
        </w:rPr>
        <w:t xml:space="preserve">Accuracy </w:t>
      </w:r>
      <w:r>
        <w:rPr>
          <w:rFonts w:ascii="Calibri" w:cs="Calibri" w:eastAsia="Calibri" w:hAnsi="Calibri"/>
          <w:sz w:val="22"/>
          <w:szCs w:val="22"/>
        </w:rPr>
        <w:t xml:space="preserve">— the proportion of all couples classified correctly. Useful but misleading under class imbalance.</w:t>
      </w:r>
    </w:p>
    <w:p>
      <w:pPr>
        <w:pStyle w:val="ListParagraph"/>
        <w:numPr>
          <w:ilvl w:val="0"/>
          <w:numId w:val="2"/>
        </w:numPr>
        <w:spacing w:after="60" w:line="282"/>
      </w:pPr>
      <w:r>
        <w:rPr>
          <w:rFonts w:ascii="Calibri" w:cs="Calibri" w:eastAsia="Calibri" w:hAnsi="Calibri"/>
          <w:b/>
          <w:bCs/>
          <w:sz w:val="22"/>
          <w:szCs w:val="22"/>
        </w:rPr>
        <w:t xml:space="preserve">Precision </w:t>
      </w:r>
      <w:r>
        <w:rPr>
          <w:rFonts w:ascii="Calibri" w:cs="Calibri" w:eastAsia="Calibri" w:hAnsi="Calibri"/>
          <w:sz w:val="22"/>
          <w:szCs w:val="22"/>
        </w:rPr>
        <w:t xml:space="preserve">— of those predicted high-risk, the fraction that truly are; high precision means few false alarms.</w:t>
      </w:r>
    </w:p>
    <w:p>
      <w:pPr>
        <w:pStyle w:val="ListParagraph"/>
        <w:numPr>
          <w:ilvl w:val="0"/>
          <w:numId w:val="2"/>
        </w:numPr>
        <w:spacing w:after="60" w:line="282"/>
      </w:pPr>
      <w:r>
        <w:rPr>
          <w:rFonts w:ascii="Calibri" w:cs="Calibri" w:eastAsia="Calibri" w:hAnsi="Calibri"/>
          <w:b/>
          <w:bCs/>
          <w:sz w:val="22"/>
          <w:szCs w:val="22"/>
        </w:rPr>
        <w:t xml:space="preserve">Recall </w:t>
      </w:r>
      <w:r>
        <w:rPr>
          <w:rFonts w:ascii="Calibri" w:cs="Calibri" w:eastAsia="Calibri" w:hAnsi="Calibri"/>
          <w:sz w:val="22"/>
          <w:szCs w:val="22"/>
        </w:rPr>
        <w:t xml:space="preserve">— of all genuinely high-risk couples, the fraction the model catches; the critical metric for a safety system, since a missed high-risk case is the costliest error.</w:t>
      </w:r>
    </w:p>
    <w:p>
      <w:pPr>
        <w:pStyle w:val="ListParagraph"/>
        <w:numPr>
          <w:ilvl w:val="0"/>
          <w:numId w:val="2"/>
        </w:numPr>
        <w:spacing w:after="60" w:line="282"/>
      </w:pPr>
      <w:r>
        <w:rPr>
          <w:rFonts w:ascii="Calibri" w:cs="Calibri" w:eastAsia="Calibri" w:hAnsi="Calibri"/>
          <w:b/>
          <w:bCs/>
          <w:sz w:val="22"/>
          <w:szCs w:val="22"/>
        </w:rPr>
        <w:t xml:space="preserve">F1-score </w:t>
      </w:r>
      <w:r>
        <w:rPr>
          <w:rFonts w:ascii="Calibri" w:cs="Calibri" w:eastAsia="Calibri" w:hAnsi="Calibri"/>
          <w:sz w:val="22"/>
          <w:szCs w:val="22"/>
        </w:rPr>
        <w:t xml:space="preserve">— the harmonic mean of precision and recall, summarising the balance between false alarms and missed cases.</w:t>
      </w:r>
    </w:p>
    <w:p>
      <w:pPr>
        <w:spacing w:after="80" w:line="288"/>
        <w:jc w:val="both"/>
      </w:pPr>
      <w:r>
        <w:rPr>
          <w:rFonts w:ascii="Calibri" w:cs="Calibri" w:eastAsia="Calibri" w:hAnsi="Calibri"/>
          <w:sz w:val="22"/>
          <w:szCs w:val="22"/>
        </w:rPr>
        <w:t xml:space="preserve">Throughout this chapter, “high-risk recall” (recall on class 1) is treated as the primary indicator of practical usefulness.</w:t>
      </w:r>
    </w:p>
    <w:p>
      <w:pPr>
        <w:pStyle w:val="Heading1"/>
        <w:pBdr>
          <w:bottom w:val="single" w:color="2E75B6" w:sz="6" w:space="2"/>
        </w:pBdr>
        <w:spacing w:after="160" w:before="300"/>
      </w:pPr>
      <w:r>
        <w:rPr>
          <w:rFonts w:ascii="Calibri" w:cs="Calibri" w:eastAsia="Calibri" w:hAnsi="Calibri"/>
          <w:b/>
          <w:bCs/>
          <w:color w:val="1F4E79"/>
          <w:sz w:val="30"/>
          <w:szCs w:val="30"/>
        </w:rPr>
        <w:t xml:space="preserve">5.4  Functional Testing of the Rule-Based Layer</w:t>
      </w:r>
    </w:p>
    <w:p>
      <w:pPr>
        <w:spacing w:after="120" w:line="288"/>
        <w:jc w:val="both"/>
      </w:pPr>
      <w:r>
        <w:rPr>
          <w:rFonts w:ascii="Calibri" w:cs="Calibri" w:eastAsia="Calibri" w:hAnsi="Calibri"/>
          <w:sz w:val="22"/>
          <w:szCs w:val="22"/>
        </w:rPr>
        <w:t xml:space="preserve">The rule-based mutual-preference layer was verified against a set of functional test scenarios derived from its specification. Each scenario checks a specific behaviour of the flat-matching pipeline; the observed behaviour matched the expected behaviour in every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760"/>
        <w:gridCol w:w="1300"/>
      </w:tblGrid>
      <w:tr>
        <w:trPr>
          <w:tblHeader/>
        </w:trPr>
        <w:tc>
          <w:tcPr>
            <w:tcW w:type="dxa" w:w="70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left"/>
            </w:pPr>
            <w:r>
              <w:rPr>
                <w:rFonts w:ascii="Calibri" w:cs="Calibri" w:eastAsia="Calibri" w:hAnsi="Calibri"/>
                <w:b/>
                <w:bCs/>
                <w:color w:val="FFFFFF"/>
                <w:sz w:val="20"/>
                <w:szCs w:val="20"/>
              </w:rPr>
              <w:t xml:space="preserve">#</w:t>
            </w:r>
          </w:p>
        </w:tc>
        <w:tc>
          <w:tcPr>
            <w:tcW w:type="dxa" w:w="360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center"/>
            </w:pPr>
            <w:r>
              <w:rPr>
                <w:rFonts w:ascii="Calibri" w:cs="Calibri" w:eastAsia="Calibri" w:hAnsi="Calibri"/>
                <w:b/>
                <w:bCs/>
                <w:color w:val="FFFFFF"/>
                <w:sz w:val="20"/>
                <w:szCs w:val="20"/>
              </w:rPr>
              <w:t xml:space="preserve">Test Scenario</w:t>
            </w:r>
          </w:p>
        </w:tc>
        <w:tc>
          <w:tcPr>
            <w:tcW w:type="dxa" w:w="376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center"/>
            </w:pPr>
            <w:r>
              <w:rPr>
                <w:rFonts w:ascii="Calibri" w:cs="Calibri" w:eastAsia="Calibri" w:hAnsi="Calibri"/>
                <w:b/>
                <w:bCs/>
                <w:color w:val="FFFFFF"/>
                <w:sz w:val="20"/>
                <w:szCs w:val="20"/>
              </w:rPr>
              <w:t xml:space="preserve">Expected Behaviour</w:t>
            </w:r>
          </w:p>
        </w:tc>
        <w:tc>
          <w:tcPr>
            <w:tcW w:type="dxa" w:w="130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center"/>
            </w:pPr>
            <w:r>
              <w:rPr>
                <w:rFonts w:ascii="Calibri" w:cs="Calibri" w:eastAsia="Calibri" w:hAnsi="Calibri"/>
                <w:b/>
                <w:bCs/>
                <w:color w:val="FFFFFF"/>
                <w:sz w:val="20"/>
                <w:szCs w:val="20"/>
              </w:rPr>
              <w:t xml:space="preserve">Result</w:t>
            </w:r>
          </w:p>
        </w:tc>
      </w:tr>
      <w:tr>
        <w:tc>
          <w:tcPr>
            <w:tcW w:type="dxa" w:w="7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T1</w:t>
            </w:r>
          </w:p>
        </w:tc>
        <w:tc>
          <w:tcPr>
            <w:tcW w:type="dxa" w:w="36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Candidate inactive for &gt; 15 days</w:t>
            </w:r>
          </w:p>
        </w:tc>
        <w:tc>
          <w:tcPr>
            <w:tcW w:type="dxa" w:w="376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Excluded by the activity filter before scoring</w:t>
            </w:r>
          </w:p>
        </w:tc>
        <w:tc>
          <w:tcPr>
            <w:tcW w:type="dxa" w:w="13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Pass</w:t>
            </w:r>
          </w:p>
        </w:tc>
      </w:tr>
      <w:tr>
        <w:tc>
          <w:tcPr>
            <w:tcW w:type="dxa" w:w="7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T2</w:t>
            </w:r>
          </w:p>
        </w:tc>
        <w:tc>
          <w:tcPr>
            <w:tcW w:type="dxa" w:w="36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Fewer than 2 mutual preferences satisfied</w:t>
            </w:r>
          </w:p>
        </w:tc>
        <w:tc>
          <w:tcPr>
            <w:tcW w:type="dxa" w:w="376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Excluded at the minimum mutual check</w:t>
            </w:r>
          </w:p>
        </w:tc>
        <w:tc>
          <w:tcPr>
            <w:tcW w:type="dxa" w:w="13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Pass</w:t>
            </w:r>
          </w:p>
        </w:tc>
      </w:tr>
      <w:tr>
        <w:tc>
          <w:tcPr>
            <w:tcW w:type="dxa" w:w="7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T3</w:t>
            </w:r>
          </w:p>
        </w:tc>
        <w:tc>
          <w:tcPr>
            <w:tcW w:type="dxa" w:w="36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All six features match both ways</w:t>
            </w:r>
          </w:p>
        </w:tc>
        <w:tc>
          <w:tcPr>
            <w:tcW w:type="dxa" w:w="376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Mutual score = 100%</w:t>
            </w:r>
          </w:p>
        </w:tc>
        <w:tc>
          <w:tcPr>
            <w:tcW w:type="dxa" w:w="13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Pass</w:t>
            </w:r>
          </w:p>
        </w:tc>
      </w:tr>
      <w:tr>
        <w:tc>
          <w:tcPr>
            <w:tcW w:type="dxa" w:w="7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T4</w:t>
            </w:r>
          </w:p>
        </w:tc>
        <w:tc>
          <w:tcPr>
            <w:tcW w:type="dxa" w:w="36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Seeker satisfied, candidate not</w:t>
            </w:r>
          </w:p>
        </w:tc>
        <w:tc>
          <w:tcPr>
            <w:tcW w:type="dxa" w:w="376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Pair rejected (asymmetric satisfaction)</w:t>
            </w:r>
          </w:p>
        </w:tc>
        <w:tc>
          <w:tcPr>
            <w:tcW w:type="dxa" w:w="13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Pass</w:t>
            </w:r>
          </w:p>
        </w:tc>
      </w:tr>
      <w:tr>
        <w:tc>
          <w:tcPr>
            <w:tcW w:type="dxa" w:w="7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T5</w:t>
            </w:r>
          </w:p>
        </w:tc>
        <w:tc>
          <w:tcPr>
            <w:tcW w:type="dxa" w:w="36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Priority weights assigned</w:t>
            </w:r>
          </w:p>
        </w:tc>
        <w:tc>
          <w:tcPr>
            <w:tcW w:type="dxa" w:w="376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Weighted scoring path invoked</w:t>
            </w:r>
          </w:p>
        </w:tc>
        <w:tc>
          <w:tcPr>
            <w:tcW w:type="dxa" w:w="13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Pass</w:t>
            </w:r>
          </w:p>
        </w:tc>
      </w:tr>
      <w:tr>
        <w:tc>
          <w:tcPr>
            <w:tcW w:type="dxa" w:w="7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T6</w:t>
            </w:r>
          </w:p>
        </w:tc>
        <w:tc>
          <w:tcPr>
            <w:tcW w:type="dxa" w:w="36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No priority weights assigned</w:t>
            </w:r>
          </w:p>
        </w:tc>
        <w:tc>
          <w:tcPr>
            <w:tcW w:type="dxa" w:w="376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Flat percentage scoring invoked</w:t>
            </w:r>
          </w:p>
        </w:tc>
        <w:tc>
          <w:tcPr>
            <w:tcW w:type="dxa" w:w="13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Pass</w:t>
            </w:r>
          </w:p>
        </w:tc>
      </w:tr>
      <w:tr>
        <w:tc>
          <w:tcPr>
            <w:tcW w:type="dxa" w:w="7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T7</w:t>
            </w:r>
          </w:p>
        </w:tc>
        <w:tc>
          <w:tcPr>
            <w:tcW w:type="dxa" w:w="36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Two valid candidates, different match counts</w:t>
            </w:r>
          </w:p>
        </w:tc>
        <w:tc>
          <w:tcPr>
            <w:tcW w:type="dxa" w:w="376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Ranked in descending mutual percentage</w:t>
            </w:r>
          </w:p>
        </w:tc>
        <w:tc>
          <w:tcPr>
            <w:tcW w:type="dxa" w:w="13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Pass</w:t>
            </w:r>
          </w:p>
        </w:tc>
      </w:tr>
      <w:tr>
        <w:tc>
          <w:tcPr>
            <w:tcW w:type="dxa" w:w="7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T8</w:t>
            </w:r>
          </w:p>
        </w:tc>
        <w:tc>
          <w:tcPr>
            <w:tcW w:type="dxa" w:w="36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Successful match</w:t>
            </w:r>
          </w:p>
        </w:tc>
        <w:tc>
          <w:tcPr>
            <w:tcW w:type="dxa" w:w="376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Both parties’ match lists updated reciprocally</w:t>
            </w:r>
          </w:p>
        </w:tc>
        <w:tc>
          <w:tcPr>
            <w:tcW w:type="dxa" w:w="13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Pass</w:t>
            </w:r>
          </w:p>
        </w:tc>
      </w:tr>
    </w:tbl>
    <w:p>
      <w:pPr>
        <w:spacing w:after="170" w:before="60"/>
      </w:pPr>
      <w:r>
        <w:rPr>
          <w:rFonts w:ascii="Calibri" w:cs="Calibri" w:eastAsia="Calibri" w:hAnsi="Calibri"/>
          <w:i/>
          <w:iCs/>
          <w:color w:val="666666"/>
          <w:sz w:val="19"/>
          <w:szCs w:val="19"/>
        </w:rPr>
        <w:t xml:space="preserve">Table 5.1  Functional test scenarios for the rule-based mutual-preference layer (all passed).</w:t>
      </w:r>
    </w:p>
    <w:p>
      <w:pPr>
        <w:spacing w:after="80" w:line="288"/>
        <w:jc w:val="both"/>
      </w:pPr>
      <w:r>
        <w:rPr>
          <w:rFonts w:ascii="Calibri" w:cs="Calibri" w:eastAsia="Calibri" w:hAnsi="Calibri"/>
          <w:sz w:val="22"/>
          <w:szCs w:val="22"/>
        </w:rPr>
        <w:t xml:space="preserve">These results confirm that Layer 1 behaves as a correct, transparent first-level filter: it removes inactive and asymmetric candidates, computes mutual scores symmetrically, switches correctly between flat and weighted scoring, and ranks and synchronises results as designed.</w:t>
      </w:r>
    </w:p>
    <w:p>
      <w:r>
        <w:br w:type="page"/>
      </w:r>
    </w:p>
    <w:p>
      <w:pPr>
        <w:pStyle w:val="Heading1"/>
        <w:pBdr>
          <w:bottom w:val="single" w:color="2E75B6" w:sz="6" w:space="2"/>
        </w:pBdr>
        <w:spacing w:after="160" w:before="300"/>
      </w:pPr>
      <w:r>
        <w:rPr>
          <w:rFonts w:ascii="Calibri" w:cs="Calibri" w:eastAsia="Calibri" w:hAnsi="Calibri"/>
          <w:b/>
          <w:bCs/>
          <w:color w:val="1F4E79"/>
          <w:sz w:val="30"/>
          <w:szCs w:val="30"/>
        </w:rPr>
        <w:t xml:space="preserve">5.5  Machine-Learning Results</w:t>
      </w:r>
    </w:p>
    <w:p>
      <w:pPr>
        <w:pStyle w:val="Heading2"/>
        <w:spacing w:after="100" w:before="220"/>
      </w:pPr>
      <w:r>
        <w:rPr>
          <w:rFonts w:ascii="Calibri" w:cs="Calibri" w:eastAsia="Calibri" w:hAnsi="Calibri"/>
          <w:b/>
          <w:bCs/>
          <w:color w:val="2E75B6"/>
          <w:sz w:val="25"/>
          <w:szCs w:val="25"/>
        </w:rPr>
        <w:t xml:space="preserve">5.5.1  Multi-Output and Classifier-Chain XGBoost</w:t>
      </w:r>
    </w:p>
    <w:p>
      <w:pPr>
        <w:spacing w:after="120" w:line="288"/>
        <w:jc w:val="both"/>
      </w:pPr>
      <w:r>
        <w:rPr>
          <w:rFonts w:ascii="Calibri" w:cs="Calibri" w:eastAsia="Calibri" w:hAnsi="Calibri"/>
          <w:sz w:val="22"/>
          <w:szCs w:val="22"/>
        </w:rPr>
        <w:t xml:space="preserve">The first modelling approach predicted each of the nine relationship-quality questions. The multi-output variant treats the nine items as independent, while the strategically ordered classifier-chain variant conditions each prediction on earlier ones (so that, for example, a reported slap raises the modelled probability of reported fear). Per-question test accuracies for both variants are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100"/>
        <w:gridCol w:w="2100"/>
      </w:tblGrid>
      <w:tr>
        <w:trPr>
          <w:tblHeader/>
        </w:trPr>
        <w:tc>
          <w:tcPr>
            <w:tcW w:type="dxa" w:w="516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left"/>
            </w:pPr>
            <w:r>
              <w:rPr>
                <w:rFonts w:ascii="Calibri" w:cs="Calibri" w:eastAsia="Calibri" w:hAnsi="Calibri"/>
                <w:b/>
                <w:bCs/>
                <w:color w:val="FFFFFF"/>
                <w:sz w:val="20"/>
                <w:szCs w:val="20"/>
              </w:rPr>
              <w:t xml:space="preserve">Survey Question</w:t>
            </w:r>
          </w:p>
        </w:tc>
        <w:tc>
          <w:tcPr>
            <w:tcW w:type="dxa" w:w="210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center"/>
            </w:pPr>
            <w:r>
              <w:rPr>
                <w:rFonts w:ascii="Calibri" w:cs="Calibri" w:eastAsia="Calibri" w:hAnsi="Calibri"/>
                <w:b/>
                <w:bCs/>
                <w:color w:val="FFFFFF"/>
                <w:sz w:val="20"/>
                <w:szCs w:val="20"/>
              </w:rPr>
              <w:t xml:space="preserve">Multi-Output (%)</w:t>
            </w:r>
          </w:p>
        </w:tc>
        <w:tc>
          <w:tcPr>
            <w:tcW w:type="dxa" w:w="210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center"/>
            </w:pPr>
            <w:r>
              <w:rPr>
                <w:rFonts w:ascii="Calibri" w:cs="Calibri" w:eastAsia="Calibri" w:hAnsi="Calibri"/>
                <w:b/>
                <w:bCs/>
                <w:color w:val="FFFFFF"/>
                <w:sz w:val="20"/>
                <w:szCs w:val="20"/>
              </w:rPr>
              <w:t xml:space="preserve">Classifier-Chain (%)</w:t>
            </w:r>
          </w:p>
        </w:tc>
      </w:tr>
      <w:tr>
        <w:tc>
          <w:tcPr>
            <w:tcW w:type="dxa" w:w="516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Jealous if wife talks with other men</w:t>
            </w:r>
          </w:p>
        </w:tc>
        <w:tc>
          <w:tcPr>
            <w:tcW w:type="dxa" w:w="21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74.35</w:t>
            </w:r>
          </w:p>
        </w:tc>
        <w:tc>
          <w:tcPr>
            <w:tcW w:type="dxa" w:w="21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74.94</w:t>
            </w:r>
          </w:p>
        </w:tc>
      </w:tr>
      <w:tr>
        <w:tc>
          <w:tcPr>
            <w:tcW w:type="dxa" w:w="516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Insists on knowing wife’s whereabouts</w:t>
            </w:r>
          </w:p>
        </w:tc>
        <w:tc>
          <w:tcPr>
            <w:tcW w:type="dxa" w:w="21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80.60</w:t>
            </w:r>
          </w:p>
        </w:tc>
        <w:tc>
          <w:tcPr>
            <w:tcW w:type="dxa" w:w="21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80.67</w:t>
            </w:r>
          </w:p>
        </w:tc>
      </w:tr>
      <w:tr>
        <w:tc>
          <w:tcPr>
            <w:tcW w:type="dxa" w:w="516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Ever humiliated</w:t>
            </w:r>
          </w:p>
        </w:tc>
        <w:tc>
          <w:tcPr>
            <w:tcW w:type="dxa" w:w="21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91.85</w:t>
            </w:r>
          </w:p>
        </w:tc>
        <w:tc>
          <w:tcPr>
            <w:tcW w:type="dxa" w:w="21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91.85</w:t>
            </w:r>
          </w:p>
        </w:tc>
      </w:tr>
      <w:tr>
        <w:tc>
          <w:tcPr>
            <w:tcW w:type="dxa" w:w="516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Ever insulted / made to feel bad</w:t>
            </w:r>
          </w:p>
        </w:tc>
        <w:tc>
          <w:tcPr>
            <w:tcW w:type="dxa" w:w="21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92.77</w:t>
            </w:r>
          </w:p>
        </w:tc>
        <w:tc>
          <w:tcPr>
            <w:tcW w:type="dxa" w:w="21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92.80</w:t>
            </w:r>
          </w:p>
        </w:tc>
      </w:tr>
      <w:tr>
        <w:tc>
          <w:tcPr>
            <w:tcW w:type="dxa" w:w="516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Ever pushed, shook or had something thrown</w:t>
            </w:r>
          </w:p>
        </w:tc>
        <w:tc>
          <w:tcPr>
            <w:tcW w:type="dxa" w:w="21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89.17</w:t>
            </w:r>
          </w:p>
        </w:tc>
        <w:tc>
          <w:tcPr>
            <w:tcW w:type="dxa" w:w="21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89.22</w:t>
            </w:r>
          </w:p>
        </w:tc>
      </w:tr>
      <w:tr>
        <w:tc>
          <w:tcPr>
            <w:tcW w:type="dxa" w:w="516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Ever slapped</w:t>
            </w:r>
          </w:p>
        </w:tc>
        <w:tc>
          <w:tcPr>
            <w:tcW w:type="dxa" w:w="21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76.44</w:t>
            </w:r>
          </w:p>
        </w:tc>
        <w:tc>
          <w:tcPr>
            <w:tcW w:type="dxa" w:w="21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76.59</w:t>
            </w:r>
          </w:p>
        </w:tc>
      </w:tr>
      <w:tr>
        <w:tc>
          <w:tcPr>
            <w:tcW w:type="dxa" w:w="516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Decides wife’s health care</w:t>
            </w:r>
          </w:p>
        </w:tc>
        <w:tc>
          <w:tcPr>
            <w:tcW w:type="dxa" w:w="21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73.60</w:t>
            </w:r>
          </w:p>
        </w:tc>
        <w:tc>
          <w:tcPr>
            <w:tcW w:type="dxa" w:w="21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74.14</w:t>
            </w:r>
          </w:p>
        </w:tc>
      </w:tr>
      <w:tr>
        <w:tc>
          <w:tcPr>
            <w:tcW w:type="dxa" w:w="516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Decides large household purchases</w:t>
            </w:r>
          </w:p>
        </w:tc>
        <w:tc>
          <w:tcPr>
            <w:tcW w:type="dxa" w:w="21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73.82</w:t>
            </w:r>
          </w:p>
        </w:tc>
        <w:tc>
          <w:tcPr>
            <w:tcW w:type="dxa" w:w="21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74.12</w:t>
            </w:r>
          </w:p>
        </w:tc>
      </w:tr>
      <w:tr>
        <w:tc>
          <w:tcPr>
            <w:tcW w:type="dxa" w:w="516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Wife afraid of husband</w:t>
            </w:r>
          </w:p>
        </w:tc>
        <w:tc>
          <w:tcPr>
            <w:tcW w:type="dxa" w:w="21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65.82</w:t>
            </w:r>
          </w:p>
        </w:tc>
        <w:tc>
          <w:tcPr>
            <w:tcW w:type="dxa" w:w="21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66.10</w:t>
            </w:r>
          </w:p>
        </w:tc>
      </w:tr>
      <w:tr>
        <w:tc>
          <w:tcPr>
            <w:tcW w:type="dxa" w:w="5160"/>
            <w:tcBorders>
              <w:top w:val="single" w:color="BBBBBB" w:sz="1"/>
              <w:left w:val="single" w:color="BBBBBB" w:sz="1"/>
              <w:bottom w:val="single" w:color="BBBBBB" w:sz="1"/>
              <w:right w:val="single" w:color="BBBBBB" w:sz="1"/>
            </w:tcBorders>
            <w:shd w:fill="FCE8D5"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Average</w:t>
            </w:r>
          </w:p>
        </w:tc>
        <w:tc>
          <w:tcPr>
            <w:tcW w:type="dxa" w:w="2100"/>
            <w:tcBorders>
              <w:top w:val="single" w:color="BBBBBB" w:sz="1"/>
              <w:left w:val="single" w:color="BBBBBB" w:sz="1"/>
              <w:bottom w:val="single" w:color="BBBBBB" w:sz="1"/>
              <w:right w:val="single" w:color="BBBBBB" w:sz="1"/>
            </w:tcBorders>
            <w:shd w:fill="FCE8D5"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79.82</w:t>
            </w:r>
          </w:p>
        </w:tc>
        <w:tc>
          <w:tcPr>
            <w:tcW w:type="dxa" w:w="2100"/>
            <w:tcBorders>
              <w:top w:val="single" w:color="BBBBBB" w:sz="1"/>
              <w:left w:val="single" w:color="BBBBBB" w:sz="1"/>
              <w:bottom w:val="single" w:color="BBBBBB" w:sz="1"/>
              <w:right w:val="single" w:color="BBBBBB" w:sz="1"/>
            </w:tcBorders>
            <w:shd w:fill="FCE8D5"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 80.0</w:t>
            </w:r>
          </w:p>
        </w:tc>
      </w:tr>
    </w:tbl>
    <w:p>
      <w:pPr>
        <w:spacing w:after="170" w:before="60"/>
      </w:pPr>
      <w:r>
        <w:rPr>
          <w:rFonts w:ascii="Calibri" w:cs="Calibri" w:eastAsia="Calibri" w:hAnsi="Calibri"/>
          <w:i/>
          <w:iCs/>
          <w:color w:val="666666"/>
          <w:sz w:val="19"/>
          <w:szCs w:val="19"/>
        </w:rPr>
        <w:t xml:space="preserve">Table 5.2  Per-question test accuracy of the multi-output and classifier-chain XGBoost models.</w:t>
      </w:r>
    </w:p>
    <w:p>
      <w:pPr>
        <w:spacing w:after="80" w:line="288"/>
        <w:jc w:val="both"/>
      </w:pPr>
      <w:r>
        <w:rPr>
          <w:rFonts w:ascii="Calibri" w:cs="Calibri" w:eastAsia="Calibri" w:hAnsi="Calibri"/>
          <w:sz w:val="22"/>
          <w:szCs w:val="22"/>
        </w:rPr>
        <w:t xml:space="preserve">Both variants reach an average per-question accuracy of about 80%. The classifier chain edges ahead on nearly every item, confirming that modelling dependencies between the questions is beneficial. The emotional-abuse items (humiliated, insulted) are predicted most accurately (&gt;90%), whereas the “afraid of husband” item is hardest (≈66%), reflecting its more subjective and imbalanced nature.</w:t>
      </w:r>
    </w:p>
    <w:p>
      <w:pPr>
        <w:pStyle w:val="Heading2"/>
        <w:spacing w:after="100" w:before="220"/>
      </w:pPr>
      <w:r>
        <w:rPr>
          <w:rFonts w:ascii="Calibri" w:cs="Calibri" w:eastAsia="Calibri" w:hAnsi="Calibri"/>
          <w:b/>
          <w:bCs/>
          <w:color w:val="2E75B6"/>
          <w:sz w:val="25"/>
          <w:szCs w:val="25"/>
        </w:rPr>
        <w:t xml:space="preserve">5.5.2  The Accuracy Paradox under Class Imbalance</w:t>
      </w:r>
    </w:p>
    <w:p>
      <w:pPr>
        <w:spacing w:after="120" w:line="288"/>
        <w:jc w:val="both"/>
      </w:pPr>
      <w:r>
        <w:rPr>
          <w:rFonts w:ascii="Calibri" w:cs="Calibri" w:eastAsia="Calibri" w:hAnsi="Calibri"/>
          <w:sz w:val="22"/>
          <w:szCs w:val="22"/>
        </w:rPr>
        <w:t xml:space="preserve">When the nine items were collapsed into a single binary stability label, the imbalance problem surfaced sharply. A single-target model and a K-Means-derived target both achieved deceptively high accuracy while almost entirely failing to detect the high-risk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tblHeader/>
        </w:trPr>
        <w:tc>
          <w:tcPr>
            <w:tcW w:type="dxa" w:w="456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left"/>
            </w:pPr>
            <w:r>
              <w:rPr>
                <w:rFonts w:ascii="Calibri" w:cs="Calibri" w:eastAsia="Calibri" w:hAnsi="Calibri"/>
                <w:b/>
                <w:bCs/>
                <w:color w:val="FFFFFF"/>
                <w:sz w:val="20"/>
                <w:szCs w:val="20"/>
              </w:rPr>
              <w:t xml:space="preserve">Model (single target)</w:t>
            </w:r>
          </w:p>
        </w:tc>
        <w:tc>
          <w:tcPr>
            <w:tcW w:type="dxa" w:w="160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center"/>
            </w:pPr>
            <w:r>
              <w:rPr>
                <w:rFonts w:ascii="Calibri" w:cs="Calibri" w:eastAsia="Calibri" w:hAnsi="Calibri"/>
                <w:b/>
                <w:bCs/>
                <w:color w:val="FFFFFF"/>
                <w:sz w:val="20"/>
                <w:szCs w:val="20"/>
              </w:rPr>
              <w:t xml:space="preserve">Accuracy</w:t>
            </w:r>
          </w:p>
        </w:tc>
        <w:tc>
          <w:tcPr>
            <w:tcW w:type="dxa" w:w="160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center"/>
            </w:pPr>
            <w:r>
              <w:rPr>
                <w:rFonts w:ascii="Calibri" w:cs="Calibri" w:eastAsia="Calibri" w:hAnsi="Calibri"/>
                <w:b/>
                <w:bCs/>
                <w:color w:val="FFFFFF"/>
                <w:sz w:val="20"/>
                <w:szCs w:val="20"/>
              </w:rPr>
              <w:t xml:space="preserve">High-Risk Recall</w:t>
            </w:r>
          </w:p>
        </w:tc>
        <w:tc>
          <w:tcPr>
            <w:tcW w:type="dxa" w:w="160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center"/>
            </w:pPr>
            <w:r>
              <w:rPr>
                <w:rFonts w:ascii="Calibri" w:cs="Calibri" w:eastAsia="Calibri" w:hAnsi="Calibri"/>
                <w:b/>
                <w:bCs/>
                <w:color w:val="FFFFFF"/>
                <w:sz w:val="20"/>
                <w:szCs w:val="20"/>
              </w:rPr>
              <w:t xml:space="preserve">High-Risk F1</w:t>
            </w:r>
          </w:p>
        </w:tc>
      </w:tr>
      <w:tr>
        <w:tc>
          <w:tcPr>
            <w:tcW w:type="dxa" w:w="4560"/>
            <w:tcBorders>
              <w:top w:val="single" w:color="BBBBBB" w:sz="1"/>
              <w:left w:val="single" w:color="BBBBBB" w:sz="1"/>
              <w:bottom w:val="single" w:color="BBBBBB" w:sz="1"/>
              <w:right w:val="single" w:color="BBBBBB" w:sz="1"/>
            </w:tcBorders>
            <w:shd w:fill="FBE4E4"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XGBoost, aggressive class weight (thr 0.65)</w:t>
            </w:r>
          </w:p>
        </w:tc>
        <w:tc>
          <w:tcPr>
            <w:tcW w:type="dxa" w:w="1600"/>
            <w:tcBorders>
              <w:top w:val="single" w:color="BBBBBB" w:sz="1"/>
              <w:left w:val="single" w:color="BBBBBB" w:sz="1"/>
              <w:bottom w:val="single" w:color="BBBBBB" w:sz="1"/>
              <w:right w:val="single" w:color="BBBBBB" w:sz="1"/>
            </w:tcBorders>
            <w:shd w:fill="FBE4E4"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0.67</w:t>
            </w:r>
          </w:p>
        </w:tc>
        <w:tc>
          <w:tcPr>
            <w:tcW w:type="dxa" w:w="1600"/>
            <w:tcBorders>
              <w:top w:val="single" w:color="BBBBBB" w:sz="1"/>
              <w:left w:val="single" w:color="BBBBBB" w:sz="1"/>
              <w:bottom w:val="single" w:color="BBBBBB" w:sz="1"/>
              <w:right w:val="single" w:color="BBBBBB" w:sz="1"/>
            </w:tcBorders>
            <w:shd w:fill="FBE4E4"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 0.00</w:t>
            </w:r>
          </w:p>
        </w:tc>
        <w:tc>
          <w:tcPr>
            <w:tcW w:type="dxa" w:w="1600"/>
            <w:tcBorders>
              <w:top w:val="single" w:color="BBBBBB" w:sz="1"/>
              <w:left w:val="single" w:color="BBBBBB" w:sz="1"/>
              <w:bottom w:val="single" w:color="BBBBBB" w:sz="1"/>
              <w:right w:val="single" w:color="BBBBBB" w:sz="1"/>
            </w:tcBorders>
            <w:shd w:fill="FBE4E4"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 0.00</w:t>
            </w:r>
          </w:p>
        </w:tc>
      </w:tr>
      <w:tr>
        <w:tc>
          <w:tcPr>
            <w:tcW w:type="dxa" w:w="4560"/>
            <w:tcBorders>
              <w:top w:val="single" w:color="BBBBBB" w:sz="1"/>
              <w:left w:val="single" w:color="BBBBBB" w:sz="1"/>
              <w:bottom w:val="single" w:color="BBBBBB" w:sz="1"/>
              <w:right w:val="single" w:color="BBBBBB" w:sz="1"/>
            </w:tcBorders>
            <w:shd w:fill="FBE4E4"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XGBoost on K-Means target (default thr)</w:t>
            </w:r>
          </w:p>
        </w:tc>
        <w:tc>
          <w:tcPr>
            <w:tcW w:type="dxa" w:w="1600"/>
            <w:tcBorders>
              <w:top w:val="single" w:color="BBBBBB" w:sz="1"/>
              <w:left w:val="single" w:color="BBBBBB" w:sz="1"/>
              <w:bottom w:val="single" w:color="BBBBBB" w:sz="1"/>
              <w:right w:val="single" w:color="BBBBBB" w:sz="1"/>
            </w:tcBorders>
            <w:shd w:fill="FBE4E4"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0.7737</w:t>
            </w:r>
          </w:p>
        </w:tc>
        <w:tc>
          <w:tcPr>
            <w:tcW w:type="dxa" w:w="1600"/>
            <w:tcBorders>
              <w:top w:val="single" w:color="BBBBBB" w:sz="1"/>
              <w:left w:val="single" w:color="BBBBBB" w:sz="1"/>
              <w:bottom w:val="single" w:color="BBBBBB" w:sz="1"/>
              <w:right w:val="single" w:color="BBBBBB" w:sz="1"/>
            </w:tcBorders>
            <w:shd w:fill="FBE4E4"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0.01</w:t>
            </w:r>
          </w:p>
        </w:tc>
        <w:tc>
          <w:tcPr>
            <w:tcW w:type="dxa" w:w="1600"/>
            <w:tcBorders>
              <w:top w:val="single" w:color="BBBBBB" w:sz="1"/>
              <w:left w:val="single" w:color="BBBBBB" w:sz="1"/>
              <w:bottom w:val="single" w:color="BBBBBB" w:sz="1"/>
              <w:right w:val="single" w:color="BBBBBB" w:sz="1"/>
            </w:tcBorders>
            <w:shd w:fill="FBE4E4"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0.03</w:t>
            </w:r>
          </w:p>
        </w:tc>
      </w:tr>
      <w:tr>
        <w:tc>
          <w:tcPr>
            <w:tcW w:type="dxa" w:w="4560"/>
            <w:tcBorders>
              <w:top w:val="single" w:color="BBBBBB" w:sz="1"/>
              <w:left w:val="single" w:color="BBBBBB" w:sz="1"/>
              <w:bottom w:val="single" w:color="BBBBBB" w:sz="1"/>
              <w:right w:val="single" w:color="BBBBBB" w:sz="1"/>
            </w:tcBorders>
            <w:shd w:fill="FBE4E4"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XGBoost on auto-engineered features (241 feats)</w:t>
            </w:r>
          </w:p>
        </w:tc>
        <w:tc>
          <w:tcPr>
            <w:tcW w:type="dxa" w:w="1600"/>
            <w:tcBorders>
              <w:top w:val="single" w:color="BBBBBB" w:sz="1"/>
              <w:left w:val="single" w:color="BBBBBB" w:sz="1"/>
              <w:bottom w:val="single" w:color="BBBBBB" w:sz="1"/>
              <w:right w:val="single" w:color="BBBBBB" w:sz="1"/>
            </w:tcBorders>
            <w:shd w:fill="FBE4E4"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0.7712</w:t>
            </w:r>
          </w:p>
        </w:tc>
        <w:tc>
          <w:tcPr>
            <w:tcW w:type="dxa" w:w="1600"/>
            <w:tcBorders>
              <w:top w:val="single" w:color="BBBBBB" w:sz="1"/>
              <w:left w:val="single" w:color="BBBBBB" w:sz="1"/>
              <w:bottom w:val="single" w:color="BBBBBB" w:sz="1"/>
              <w:right w:val="single" w:color="BBBBBB" w:sz="1"/>
            </w:tcBorders>
            <w:shd w:fill="FBE4E4"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0.02</w:t>
            </w:r>
          </w:p>
        </w:tc>
        <w:tc>
          <w:tcPr>
            <w:tcW w:type="dxa" w:w="1600"/>
            <w:tcBorders>
              <w:top w:val="single" w:color="BBBBBB" w:sz="1"/>
              <w:left w:val="single" w:color="BBBBBB" w:sz="1"/>
              <w:bottom w:val="single" w:color="BBBBBB" w:sz="1"/>
              <w:right w:val="single" w:color="BBBBBB" w:sz="1"/>
            </w:tcBorders>
            <w:shd w:fill="FBE4E4"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0.04</w:t>
            </w:r>
          </w:p>
        </w:tc>
      </w:tr>
    </w:tbl>
    <w:p>
      <w:pPr>
        <w:spacing w:after="170" w:before="60"/>
      </w:pPr>
      <w:r>
        <w:rPr>
          <w:rFonts w:ascii="Calibri" w:cs="Calibri" w:eastAsia="Calibri" w:hAnsi="Calibri"/>
          <w:i/>
          <w:iCs/>
          <w:color w:val="666666"/>
          <w:sz w:val="19"/>
          <w:szCs w:val="19"/>
        </w:rPr>
        <w:t xml:space="preserve">Table 5.3  The accuracy paradox: high accuracy, near-zero detection of high-risk couples.</w:t>
      </w:r>
    </w:p>
    <w:p>
      <w:pPr>
        <w:spacing w:after="80" w:line="288"/>
        <w:jc w:val="both"/>
      </w:pPr>
      <w:r>
        <w:rPr>
          <w:rFonts w:ascii="Calibri" w:cs="Calibri" w:eastAsia="Calibri" w:hAnsi="Calibri"/>
          <w:sz w:val="22"/>
          <w:szCs w:val="22"/>
        </w:rPr>
        <w:t xml:space="preserve">These three models illustrate the core difficulty: accuracy of 77% looks strong, but a high-risk recall of 0.01–0.02 means the system misses almost every dangerous marriage — the opposite of what a safety-oriented matchmaker requires. Adding 241 auto-engineered features did not help, confirming that the problem was the imbalanced objective, not a lack of features.</w:t>
      </w:r>
    </w:p>
    <w:p>
      <w:pPr>
        <w:pStyle w:val="Heading2"/>
        <w:spacing w:after="100" w:before="220"/>
      </w:pPr>
      <w:r>
        <w:rPr>
          <w:rFonts w:ascii="Calibri" w:cs="Calibri" w:eastAsia="Calibri" w:hAnsi="Calibri"/>
          <w:b/>
          <w:bCs/>
          <w:color w:val="2E75B6"/>
          <w:sz w:val="25"/>
          <w:szCs w:val="25"/>
        </w:rPr>
        <w:t xml:space="preserve">5.5.3  Recall-Oriented Models with Resampling and Threshold Tuning</w:t>
      </w:r>
    </w:p>
    <w:p>
      <w:pPr>
        <w:spacing w:after="120" w:line="288"/>
        <w:jc w:val="both"/>
      </w:pPr>
      <w:r>
        <w:rPr>
          <w:rFonts w:ascii="Calibri" w:cs="Calibri" w:eastAsia="Calibri" w:hAnsi="Calibri"/>
          <w:sz w:val="22"/>
          <w:szCs w:val="22"/>
        </w:rPr>
        <w:t xml:space="preserve">To force the models to attend to the minority class, class-weighting, resampling and decision-threshold tuning were introduced. These techniques sharply improved high-risk recall, at the expected cost of overall accuracy and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tblHeader/>
        </w:trPr>
        <w:tc>
          <w:tcPr>
            <w:tcW w:type="dxa" w:w="456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left"/>
            </w:pPr>
            <w:r>
              <w:rPr>
                <w:rFonts w:ascii="Calibri" w:cs="Calibri" w:eastAsia="Calibri" w:hAnsi="Calibri"/>
                <w:b/>
                <w:bCs/>
                <w:color w:val="FFFFFF"/>
                <w:sz w:val="20"/>
                <w:szCs w:val="20"/>
              </w:rPr>
              <w:t xml:space="preserve">Model / Technique</w:t>
            </w:r>
          </w:p>
        </w:tc>
        <w:tc>
          <w:tcPr>
            <w:tcW w:type="dxa" w:w="160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center"/>
            </w:pPr>
            <w:r>
              <w:rPr>
                <w:rFonts w:ascii="Calibri" w:cs="Calibri" w:eastAsia="Calibri" w:hAnsi="Calibri"/>
                <w:b/>
                <w:bCs/>
                <w:color w:val="FFFFFF"/>
                <w:sz w:val="20"/>
                <w:szCs w:val="20"/>
              </w:rPr>
              <w:t xml:space="preserve">Accuracy</w:t>
            </w:r>
          </w:p>
        </w:tc>
        <w:tc>
          <w:tcPr>
            <w:tcW w:type="dxa" w:w="160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center"/>
            </w:pPr>
            <w:r>
              <w:rPr>
                <w:rFonts w:ascii="Calibri" w:cs="Calibri" w:eastAsia="Calibri" w:hAnsi="Calibri"/>
                <w:b/>
                <w:bCs/>
                <w:color w:val="FFFFFF"/>
                <w:sz w:val="20"/>
                <w:szCs w:val="20"/>
              </w:rPr>
              <w:t xml:space="preserve">High-Risk Recall</w:t>
            </w:r>
          </w:p>
        </w:tc>
        <w:tc>
          <w:tcPr>
            <w:tcW w:type="dxa" w:w="160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center"/>
            </w:pPr>
            <w:r>
              <w:rPr>
                <w:rFonts w:ascii="Calibri" w:cs="Calibri" w:eastAsia="Calibri" w:hAnsi="Calibri"/>
                <w:b/>
                <w:bCs/>
                <w:color w:val="FFFFFF"/>
                <w:sz w:val="20"/>
                <w:szCs w:val="20"/>
              </w:rPr>
              <w:t xml:space="preserve">High-Risk F1</w:t>
            </w:r>
          </w:p>
        </w:tc>
      </w:tr>
      <w:tr>
        <w:tc>
          <w:tcPr>
            <w:tcW w:type="dxa" w:w="456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Cluster target + scale_pos_weight 3.35 (thr 0.44)</w:t>
            </w:r>
          </w:p>
        </w:tc>
        <w:tc>
          <w:tcPr>
            <w:tcW w:type="dxa" w:w="16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0.4413</w:t>
            </w:r>
          </w:p>
        </w:tc>
        <w:tc>
          <w:tcPr>
            <w:tcW w:type="dxa" w:w="16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0.77</w:t>
            </w:r>
          </w:p>
        </w:tc>
        <w:tc>
          <w:tcPr>
            <w:tcW w:type="dxa" w:w="16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0.38</w:t>
            </w:r>
          </w:p>
        </w:tc>
      </w:tr>
      <w:tr>
        <w:tc>
          <w:tcPr>
            <w:tcW w:type="dxa" w:w="456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Sociological-engineered cluster (thr 0.46)</w:t>
            </w:r>
          </w:p>
        </w:tc>
        <w:tc>
          <w:tcPr>
            <w:tcW w:type="dxa" w:w="16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0.4872</w:t>
            </w:r>
          </w:p>
        </w:tc>
        <w:tc>
          <w:tcPr>
            <w:tcW w:type="dxa" w:w="16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0.71</w:t>
            </w:r>
          </w:p>
        </w:tc>
        <w:tc>
          <w:tcPr>
            <w:tcW w:type="dxa" w:w="16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0.38</w:t>
            </w:r>
          </w:p>
        </w:tc>
      </w:tr>
      <w:tr>
        <w:tc>
          <w:tcPr>
            <w:tcW w:type="dxa" w:w="456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Decision Tree on SMOTETomek data</w:t>
            </w:r>
          </w:p>
        </w:tc>
        <w:tc>
          <w:tcPr>
            <w:tcW w:type="dxa" w:w="16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0.7320</w:t>
            </w:r>
          </w:p>
        </w:tc>
        <w:tc>
          <w:tcPr>
            <w:tcW w:type="dxa" w:w="16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0.16</w:t>
            </w:r>
          </w:p>
        </w:tc>
        <w:tc>
          <w:tcPr>
            <w:tcW w:type="dxa" w:w="16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0.21</w:t>
            </w:r>
          </w:p>
        </w:tc>
      </w:tr>
      <w:tr>
        <w:tc>
          <w:tcPr>
            <w:tcW w:type="dxa" w:w="456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K-Means target + random over-sampling (XGBoost)</w:t>
            </w:r>
          </w:p>
        </w:tc>
        <w:tc>
          <w:tcPr>
            <w:tcW w:type="dxa" w:w="16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0.5958</w:t>
            </w:r>
          </w:p>
        </w:tc>
        <w:tc>
          <w:tcPr>
            <w:tcW w:type="dxa" w:w="16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0.56</w:t>
            </w:r>
          </w:p>
        </w:tc>
        <w:tc>
          <w:tcPr>
            <w:tcW w:type="dxa" w:w="16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0.39</w:t>
            </w:r>
          </w:p>
        </w:tc>
      </w:tr>
    </w:tbl>
    <w:p>
      <w:pPr>
        <w:spacing w:after="170" w:before="60"/>
      </w:pPr>
      <w:r>
        <w:rPr>
          <w:rFonts w:ascii="Calibri" w:cs="Calibri" w:eastAsia="Calibri" w:hAnsi="Calibri"/>
          <w:i/>
          <w:iCs/>
          <w:color w:val="666666"/>
          <w:sz w:val="19"/>
          <w:szCs w:val="19"/>
        </w:rPr>
        <w:t xml:space="preserve">Table 5.4  Effect of resampling and threshold tuning — recall rises as accuracy falls.</w:t>
      </w:r>
    </w:p>
    <w:p>
      <w:pPr>
        <w:spacing w:after="80" w:line="288"/>
        <w:jc w:val="both"/>
      </w:pPr>
      <w:r>
        <w:rPr>
          <w:rFonts w:ascii="Calibri" w:cs="Calibri" w:eastAsia="Calibri" w:hAnsi="Calibri"/>
          <w:sz w:val="22"/>
          <w:szCs w:val="22"/>
        </w:rPr>
        <w:t xml:space="preserve">The trade-off is clear. Aggressive recall optimisation lifts high-risk recall to 0.71–0.77 but drops accuracy below 0.50, producing many false alarms. SMOTETomek with a decision tree keeps accuracy high (0.73) but recovers little recall (0.16). Random over-sampling with XGBoost offers a more reasonable middle ground (accuracy 0.60, recall 0.56).</w:t>
      </w:r>
    </w:p>
    <w:p>
      <w:pPr>
        <w:pStyle w:val="Heading2"/>
        <w:spacing w:after="100" w:before="220"/>
      </w:pPr>
      <w:r>
        <w:rPr>
          <w:rFonts w:ascii="Calibri" w:cs="Calibri" w:eastAsia="Calibri" w:hAnsi="Calibri"/>
          <w:b/>
          <w:bCs/>
          <w:color w:val="2E75B6"/>
          <w:sz w:val="25"/>
          <w:szCs w:val="25"/>
        </w:rPr>
        <w:t xml:space="preserve">5.5.4  Cluster Coherence Validation</w:t>
      </w:r>
    </w:p>
    <w:p>
      <w:pPr>
        <w:spacing w:after="120" w:line="288"/>
        <w:jc w:val="both"/>
      </w:pPr>
      <w:r>
        <w:rPr>
          <w:rFonts w:ascii="Calibri" w:cs="Calibri" w:eastAsia="Calibri" w:hAnsi="Calibri"/>
          <w:sz w:val="22"/>
          <w:szCs w:val="22"/>
        </w:rPr>
        <w:t xml:space="preserve">To confirm that the K-Means clusters genuinely separated stable from unstable couples, the nine survey answers were used directly as inputs to predict the cluster label. The very high scores below verify that the clusters are internally coherent functions of the survey responses — i.e., the grouping is mathematically valid — rather than constituting a deployable demographic predictor.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400"/>
        <w:gridCol w:w="1700"/>
        <w:gridCol w:w="1600"/>
        <w:gridCol w:w="1500"/>
      </w:tblGrid>
      <w:tr>
        <w:trPr>
          <w:tblHeader/>
        </w:trPr>
        <w:tc>
          <w:tcPr>
            <w:tcW w:type="dxa" w:w="316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left"/>
            </w:pPr>
            <w:r>
              <w:rPr>
                <w:rFonts w:ascii="Calibri" w:cs="Calibri" w:eastAsia="Calibri" w:hAnsi="Calibri"/>
                <w:b/>
                <w:bCs/>
                <w:color w:val="FFFFFF"/>
                <w:sz w:val="20"/>
                <w:szCs w:val="20"/>
              </w:rPr>
              <w:t xml:space="preserve">Validation Model</w:t>
            </w:r>
          </w:p>
        </w:tc>
        <w:tc>
          <w:tcPr>
            <w:tcW w:type="dxa" w:w="140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center"/>
            </w:pPr>
            <w:r>
              <w:rPr>
                <w:rFonts w:ascii="Calibri" w:cs="Calibri" w:eastAsia="Calibri" w:hAnsi="Calibri"/>
                <w:b/>
                <w:bCs/>
                <w:color w:val="FFFFFF"/>
                <w:sz w:val="20"/>
                <w:szCs w:val="20"/>
              </w:rPr>
              <w:t xml:space="preserve">Accuracy</w:t>
            </w:r>
          </w:p>
        </w:tc>
        <w:tc>
          <w:tcPr>
            <w:tcW w:type="dxa" w:w="170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center"/>
            </w:pPr>
            <w:r>
              <w:rPr>
                <w:rFonts w:ascii="Calibri" w:cs="Calibri" w:eastAsia="Calibri" w:hAnsi="Calibri"/>
                <w:b/>
                <w:bCs/>
                <w:color w:val="FFFFFF"/>
                <w:sz w:val="20"/>
                <w:szCs w:val="20"/>
              </w:rPr>
              <w:t xml:space="preserve">High-Risk Precision</w:t>
            </w:r>
          </w:p>
        </w:tc>
        <w:tc>
          <w:tcPr>
            <w:tcW w:type="dxa" w:w="160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center"/>
            </w:pPr>
            <w:r>
              <w:rPr>
                <w:rFonts w:ascii="Calibri" w:cs="Calibri" w:eastAsia="Calibri" w:hAnsi="Calibri"/>
                <w:b/>
                <w:bCs/>
                <w:color w:val="FFFFFF"/>
                <w:sz w:val="20"/>
                <w:szCs w:val="20"/>
              </w:rPr>
              <w:t xml:space="preserve">High-Risk Recall</w:t>
            </w:r>
          </w:p>
        </w:tc>
        <w:tc>
          <w:tcPr>
            <w:tcW w:type="dxa" w:w="150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center"/>
            </w:pPr>
            <w:r>
              <w:rPr>
                <w:rFonts w:ascii="Calibri" w:cs="Calibri" w:eastAsia="Calibri" w:hAnsi="Calibri"/>
                <w:b/>
                <w:bCs/>
                <w:color w:val="FFFFFF"/>
                <w:sz w:val="20"/>
                <w:szCs w:val="20"/>
              </w:rPr>
              <w:t xml:space="preserve">High-Risk F1</w:t>
            </w:r>
          </w:p>
        </w:tc>
      </w:tr>
      <w:tr>
        <w:tc>
          <w:tcPr>
            <w:tcW w:type="dxa" w:w="3160"/>
            <w:tcBorders>
              <w:top w:val="single" w:color="BBBBBB" w:sz="1"/>
              <w:left w:val="single" w:color="BBBBBB" w:sz="1"/>
              <w:bottom w:val="single" w:color="BBBBBB" w:sz="1"/>
              <w:right w:val="single" w:color="BBBBBB" w:sz="1"/>
            </w:tcBorders>
            <w:shd w:fill="E2EFDA"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Naïve Bayes</w:t>
            </w:r>
          </w:p>
        </w:tc>
        <w:tc>
          <w:tcPr>
            <w:tcW w:type="dxa" w:w="1400"/>
            <w:tcBorders>
              <w:top w:val="single" w:color="BBBBBB" w:sz="1"/>
              <w:left w:val="single" w:color="BBBBBB" w:sz="1"/>
              <w:bottom w:val="single" w:color="BBBBBB" w:sz="1"/>
              <w:right w:val="single" w:color="BBBBBB" w:sz="1"/>
            </w:tcBorders>
            <w:shd w:fill="E2EFDA"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0.9342</w:t>
            </w:r>
          </w:p>
        </w:tc>
        <w:tc>
          <w:tcPr>
            <w:tcW w:type="dxa" w:w="1700"/>
            <w:tcBorders>
              <w:top w:val="single" w:color="BBBBBB" w:sz="1"/>
              <w:left w:val="single" w:color="BBBBBB" w:sz="1"/>
              <w:bottom w:val="single" w:color="BBBBBB" w:sz="1"/>
              <w:right w:val="single" w:color="BBBBBB" w:sz="1"/>
            </w:tcBorders>
            <w:shd w:fill="E2EFDA"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0.77</w:t>
            </w:r>
          </w:p>
        </w:tc>
        <w:tc>
          <w:tcPr>
            <w:tcW w:type="dxa" w:w="1600"/>
            <w:tcBorders>
              <w:top w:val="single" w:color="BBBBBB" w:sz="1"/>
              <w:left w:val="single" w:color="BBBBBB" w:sz="1"/>
              <w:bottom w:val="single" w:color="BBBBBB" w:sz="1"/>
              <w:right w:val="single" w:color="BBBBBB" w:sz="1"/>
            </w:tcBorders>
            <w:shd w:fill="E2EFDA"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1.00</w:t>
            </w:r>
          </w:p>
        </w:tc>
        <w:tc>
          <w:tcPr>
            <w:tcW w:type="dxa" w:w="1500"/>
            <w:tcBorders>
              <w:top w:val="single" w:color="BBBBBB" w:sz="1"/>
              <w:left w:val="single" w:color="BBBBBB" w:sz="1"/>
              <w:bottom w:val="single" w:color="BBBBBB" w:sz="1"/>
              <w:right w:val="single" w:color="BBBBBB" w:sz="1"/>
            </w:tcBorders>
            <w:shd w:fill="E2EFDA"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0.87</w:t>
            </w:r>
          </w:p>
        </w:tc>
      </w:tr>
      <w:tr>
        <w:tc>
          <w:tcPr>
            <w:tcW w:type="dxa" w:w="3160"/>
            <w:tcBorders>
              <w:top w:val="single" w:color="BBBBBB" w:sz="1"/>
              <w:left w:val="single" w:color="BBBBBB" w:sz="1"/>
              <w:bottom w:val="single" w:color="BBBBBB" w:sz="1"/>
              <w:right w:val="single" w:color="BBBBBB" w:sz="1"/>
            </w:tcBorders>
            <w:shd w:fill="E2EFDA"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Decision Tree</w:t>
            </w:r>
          </w:p>
        </w:tc>
        <w:tc>
          <w:tcPr>
            <w:tcW w:type="dxa" w:w="1400"/>
            <w:tcBorders>
              <w:top w:val="single" w:color="BBBBBB" w:sz="1"/>
              <w:left w:val="single" w:color="BBBBBB" w:sz="1"/>
              <w:bottom w:val="single" w:color="BBBBBB" w:sz="1"/>
              <w:right w:val="single" w:color="BBBBBB" w:sz="1"/>
            </w:tcBorders>
            <w:shd w:fill="E2EFDA"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0.9981</w:t>
            </w:r>
          </w:p>
        </w:tc>
        <w:tc>
          <w:tcPr>
            <w:tcW w:type="dxa" w:w="1700"/>
            <w:tcBorders>
              <w:top w:val="single" w:color="BBBBBB" w:sz="1"/>
              <w:left w:val="single" w:color="BBBBBB" w:sz="1"/>
              <w:bottom w:val="single" w:color="BBBBBB" w:sz="1"/>
              <w:right w:val="single" w:color="BBBBBB" w:sz="1"/>
            </w:tcBorders>
            <w:shd w:fill="E2EFDA"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 1.00</w:t>
            </w:r>
          </w:p>
        </w:tc>
        <w:tc>
          <w:tcPr>
            <w:tcW w:type="dxa" w:w="1600"/>
            <w:tcBorders>
              <w:top w:val="single" w:color="BBBBBB" w:sz="1"/>
              <w:left w:val="single" w:color="BBBBBB" w:sz="1"/>
              <w:bottom w:val="single" w:color="BBBBBB" w:sz="1"/>
              <w:right w:val="single" w:color="BBBBBB" w:sz="1"/>
            </w:tcBorders>
            <w:shd w:fill="E2EFDA"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 1.00</w:t>
            </w:r>
          </w:p>
        </w:tc>
        <w:tc>
          <w:tcPr>
            <w:tcW w:type="dxa" w:w="1500"/>
            <w:tcBorders>
              <w:top w:val="single" w:color="BBBBBB" w:sz="1"/>
              <w:left w:val="single" w:color="BBBBBB" w:sz="1"/>
              <w:bottom w:val="single" w:color="BBBBBB" w:sz="1"/>
              <w:right w:val="single" w:color="BBBBBB" w:sz="1"/>
            </w:tcBorders>
            <w:shd w:fill="E2EFDA"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 1.00</w:t>
            </w:r>
          </w:p>
        </w:tc>
      </w:tr>
    </w:tbl>
    <w:p>
      <w:pPr>
        <w:spacing w:after="170" w:before="60"/>
      </w:pPr>
      <w:r>
        <w:rPr>
          <w:rFonts w:ascii="Calibri" w:cs="Calibri" w:eastAsia="Calibri" w:hAnsi="Calibri"/>
          <w:i/>
          <w:iCs/>
          <w:color w:val="666666"/>
          <w:sz w:val="19"/>
          <w:szCs w:val="19"/>
        </w:rPr>
        <w:t xml:space="preserve">Table 5.5  Cluster-coherence check (survey items → cluster). Confirms the labels are well-defined, not a deployment result.</w:t>
      </w:r>
    </w:p>
    <w:p>
      <w:pPr>
        <w:spacing w:after="80" w:line="288"/>
        <w:jc w:val="both"/>
      </w:pPr>
      <w:r>
        <w:rPr>
          <w:rFonts w:ascii="Calibri" w:cs="Calibri" w:eastAsia="Calibri" w:hAnsi="Calibri"/>
          <w:sz w:val="22"/>
          <w:szCs w:val="22"/>
        </w:rPr>
        <w:t xml:space="preserve">These figures are intentionally high because the target is derived from the same nine items used as inputs; they are reported only as internal validation of label quality, and not as the predictive performance of the deployed model.</w:t>
      </w:r>
    </w:p>
    <w:p>
      <w:r>
        <w:br w:type="page"/>
      </w:r>
    </w:p>
    <w:p>
      <w:pPr>
        <w:pStyle w:val="Heading2"/>
        <w:spacing w:after="100" w:before="220"/>
      </w:pPr>
      <w:r>
        <w:rPr>
          <w:rFonts w:ascii="Calibri" w:cs="Calibri" w:eastAsia="Calibri" w:hAnsi="Calibri"/>
          <w:b/>
          <w:bCs/>
          <w:color w:val="2E75B6"/>
          <w:sz w:val="25"/>
          <w:szCs w:val="25"/>
        </w:rPr>
        <w:t xml:space="preserve">5.5.5  Final Deterministic and Hybrid Models</w:t>
      </w:r>
    </w:p>
    <w:p>
      <w:pPr>
        <w:spacing w:after="120" w:line="288"/>
        <w:jc w:val="both"/>
      </w:pPr>
      <w:r>
        <w:rPr>
          <w:rFonts w:ascii="Calibri" w:cs="Calibri" w:eastAsia="Calibri" w:hAnsi="Calibri"/>
          <w:sz w:val="22"/>
          <w:szCs w:val="22"/>
        </w:rPr>
        <w:t xml:space="preserve">The methodology finally adopted a deterministic, rule-based “red-flag” target combined with random over-sampling and tuned thresholds. This yielded balanced models in which both classes are detected at comparable rates — the most useful behaviour for the matchmaker, even though headline accuracy is lower than the earlier, misleadingly “accurate”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0"/>
        <w:gridCol w:w="1500"/>
        <w:gridCol w:w="1500"/>
        <w:gridCol w:w="1550"/>
        <w:gridCol w:w="1350"/>
      </w:tblGrid>
      <w:tr>
        <w:trPr>
          <w:tblHeader/>
        </w:trPr>
        <w:tc>
          <w:tcPr>
            <w:tcW w:type="dxa" w:w="406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left"/>
            </w:pPr>
            <w:r>
              <w:rPr>
                <w:rFonts w:ascii="Calibri" w:cs="Calibri" w:eastAsia="Calibri" w:hAnsi="Calibri"/>
                <w:b/>
                <w:bCs/>
                <w:color w:val="FFFFFF"/>
                <w:sz w:val="20"/>
                <w:szCs w:val="20"/>
              </w:rPr>
              <w:t xml:space="preserve">Final Model</w:t>
            </w:r>
          </w:p>
        </w:tc>
        <w:tc>
          <w:tcPr>
            <w:tcW w:type="dxa" w:w="150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center"/>
            </w:pPr>
            <w:r>
              <w:rPr>
                <w:rFonts w:ascii="Calibri" w:cs="Calibri" w:eastAsia="Calibri" w:hAnsi="Calibri"/>
                <w:b/>
                <w:bCs/>
                <w:color w:val="FFFFFF"/>
                <w:sz w:val="20"/>
                <w:szCs w:val="20"/>
              </w:rPr>
              <w:t xml:space="preserve">Accuracy</w:t>
            </w:r>
          </w:p>
        </w:tc>
        <w:tc>
          <w:tcPr>
            <w:tcW w:type="dxa" w:w="150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center"/>
            </w:pPr>
            <w:r>
              <w:rPr>
                <w:rFonts w:ascii="Calibri" w:cs="Calibri" w:eastAsia="Calibri" w:hAnsi="Calibri"/>
                <w:b/>
                <w:bCs/>
                <w:color w:val="FFFFFF"/>
                <w:sz w:val="20"/>
                <w:szCs w:val="20"/>
              </w:rPr>
              <w:t xml:space="preserve">Stable Recall</w:t>
            </w:r>
          </w:p>
        </w:tc>
        <w:tc>
          <w:tcPr>
            <w:tcW w:type="dxa" w:w="155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center"/>
            </w:pPr>
            <w:r>
              <w:rPr>
                <w:rFonts w:ascii="Calibri" w:cs="Calibri" w:eastAsia="Calibri" w:hAnsi="Calibri"/>
                <w:b/>
                <w:bCs/>
                <w:color w:val="FFFFFF"/>
                <w:sz w:val="20"/>
                <w:szCs w:val="20"/>
              </w:rPr>
              <w:t xml:space="preserve">High-Risk Recall</w:t>
            </w:r>
          </w:p>
        </w:tc>
        <w:tc>
          <w:tcPr>
            <w:tcW w:type="dxa" w:w="135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center"/>
            </w:pPr>
            <w:r>
              <w:rPr>
                <w:rFonts w:ascii="Calibri" w:cs="Calibri" w:eastAsia="Calibri" w:hAnsi="Calibri"/>
                <w:b/>
                <w:bCs/>
                <w:color w:val="FFFFFF"/>
                <w:sz w:val="20"/>
                <w:szCs w:val="20"/>
              </w:rPr>
              <w:t xml:space="preserve">High-Risk F1</w:t>
            </w:r>
          </w:p>
        </w:tc>
      </w:tr>
      <w:tr>
        <w:tc>
          <w:tcPr>
            <w:tcW w:type="dxa" w:w="406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Deterministic target + over-sampling (XGBoost)</w:t>
            </w:r>
          </w:p>
        </w:tc>
        <w:tc>
          <w:tcPr>
            <w:tcW w:type="dxa" w:w="15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0.5932</w:t>
            </w:r>
          </w:p>
        </w:tc>
        <w:tc>
          <w:tcPr>
            <w:tcW w:type="dxa" w:w="15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0.59</w:t>
            </w:r>
          </w:p>
        </w:tc>
        <w:tc>
          <w:tcPr>
            <w:tcW w:type="dxa" w:w="155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0.59</w:t>
            </w:r>
          </w:p>
        </w:tc>
        <w:tc>
          <w:tcPr>
            <w:tcW w:type="dxa" w:w="135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 0.62</w:t>
            </w:r>
          </w:p>
        </w:tc>
      </w:tr>
      <w:tr>
        <w:tc>
          <w:tcPr>
            <w:tcW w:type="dxa" w:w="406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Hybrid target (optimal thr 0.4927)</w:t>
            </w:r>
          </w:p>
        </w:tc>
        <w:tc>
          <w:tcPr>
            <w:tcW w:type="dxa" w:w="15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0.6010</w:t>
            </w:r>
          </w:p>
        </w:tc>
        <w:tc>
          <w:tcPr>
            <w:tcW w:type="dxa" w:w="15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0.60</w:t>
            </w:r>
          </w:p>
        </w:tc>
        <w:tc>
          <w:tcPr>
            <w:tcW w:type="dxa" w:w="155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0.60</w:t>
            </w:r>
          </w:p>
        </w:tc>
        <w:tc>
          <w:tcPr>
            <w:tcW w:type="dxa" w:w="135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0.43</w:t>
            </w:r>
          </w:p>
        </w:tc>
      </w:tr>
      <w:tr>
        <w:tc>
          <w:tcPr>
            <w:tcW w:type="dxa" w:w="4060"/>
            <w:tcBorders>
              <w:top w:val="single" w:color="BBBBBB" w:sz="1"/>
              <w:left w:val="single" w:color="BBBBBB" w:sz="1"/>
              <w:bottom w:val="single" w:color="BBBBBB" w:sz="1"/>
              <w:right w:val="single" w:color="BBBBBB" w:sz="1"/>
            </w:tcBorders>
            <w:shd w:fill="FCE8D5"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Rule-based hybrid (optimal thr 0.5064)</w:t>
            </w:r>
          </w:p>
        </w:tc>
        <w:tc>
          <w:tcPr>
            <w:tcW w:type="dxa" w:w="1500"/>
            <w:tcBorders>
              <w:top w:val="single" w:color="BBBBBB" w:sz="1"/>
              <w:left w:val="single" w:color="BBBBBB" w:sz="1"/>
              <w:bottom w:val="single" w:color="BBBBBB" w:sz="1"/>
              <w:right w:val="single" w:color="BBBBBB" w:sz="1"/>
            </w:tcBorders>
            <w:shd w:fill="FCE8D5"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0.5855</w:t>
            </w:r>
          </w:p>
        </w:tc>
        <w:tc>
          <w:tcPr>
            <w:tcW w:type="dxa" w:w="1500"/>
            <w:tcBorders>
              <w:top w:val="single" w:color="BBBBBB" w:sz="1"/>
              <w:left w:val="single" w:color="BBBBBB" w:sz="1"/>
              <w:bottom w:val="single" w:color="BBBBBB" w:sz="1"/>
              <w:right w:val="single" w:color="BBBBBB" w:sz="1"/>
            </w:tcBorders>
            <w:shd w:fill="FCE8D5"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0.59</w:t>
            </w:r>
          </w:p>
        </w:tc>
        <w:tc>
          <w:tcPr>
            <w:tcW w:type="dxa" w:w="1550"/>
            <w:tcBorders>
              <w:top w:val="single" w:color="BBBBBB" w:sz="1"/>
              <w:left w:val="single" w:color="BBBBBB" w:sz="1"/>
              <w:bottom w:val="single" w:color="BBBBBB" w:sz="1"/>
              <w:right w:val="single" w:color="BBBBBB" w:sz="1"/>
            </w:tcBorders>
            <w:shd w:fill="FCE8D5"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0.59</w:t>
            </w:r>
          </w:p>
        </w:tc>
        <w:tc>
          <w:tcPr>
            <w:tcW w:type="dxa" w:w="1350"/>
            <w:tcBorders>
              <w:top w:val="single" w:color="BBBBBB" w:sz="1"/>
              <w:left w:val="single" w:color="BBBBBB" w:sz="1"/>
              <w:bottom w:val="single" w:color="BBBBBB" w:sz="1"/>
              <w:right w:val="single" w:color="BBBBBB" w:sz="1"/>
            </w:tcBorders>
            <w:shd w:fill="FCE8D5"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0.59</w:t>
            </w:r>
          </w:p>
        </w:tc>
      </w:tr>
    </w:tbl>
    <w:p>
      <w:pPr>
        <w:spacing w:after="170" w:before="60"/>
      </w:pPr>
      <w:r>
        <w:rPr>
          <w:rFonts w:ascii="Calibri" w:cs="Calibri" w:eastAsia="Calibri" w:hAnsi="Calibri"/>
          <w:i/>
          <w:iCs/>
          <w:color w:val="666666"/>
          <w:sz w:val="19"/>
          <w:szCs w:val="19"/>
        </w:rPr>
        <w:t xml:space="preserve">Table 5.6  Final balanced models. The rule-based hybrid achieves near-equal recall and F1 across both classes.</w:t>
      </w:r>
    </w:p>
    <w:p>
      <w:pPr>
        <w:spacing w:after="80" w:line="288"/>
        <w:jc w:val="both"/>
      </w:pPr>
      <w:r>
        <w:rPr>
          <w:rFonts w:ascii="Calibri" w:cs="Calibri" w:eastAsia="Calibri" w:hAnsi="Calibri"/>
          <w:sz w:val="22"/>
          <w:szCs w:val="22"/>
        </w:rPr>
        <w:t xml:space="preserve">The rule-based hybrid model (highlighted) is the most balanced result of the project: it detects stable and high-risk couples at essentially the same rate (recall ≈ 0.59 for both) with an equal F1-score across classes. Although its accuracy (0.59) is far below the 0.77 of the naive single-target model, it is far more useful: it does not sacrifice the minority class, and it aligns the model’s objective with the system’s safety goal.</w:t>
      </w:r>
    </w:p>
    <w:p>
      <w:pPr>
        <w:pStyle w:val="Heading2"/>
        <w:spacing w:after="100" w:before="220"/>
      </w:pPr>
      <w:r>
        <w:rPr>
          <w:rFonts w:ascii="Calibri" w:cs="Calibri" w:eastAsia="Calibri" w:hAnsi="Calibri"/>
          <w:b/>
          <w:bCs/>
          <w:color w:val="2E75B6"/>
          <w:sz w:val="25"/>
          <w:szCs w:val="25"/>
        </w:rPr>
        <w:t xml:space="preserve">5.5.6  Feature-Importance Results</w:t>
      </w:r>
    </w:p>
    <w:p>
      <w:pPr>
        <w:spacing w:after="120" w:line="288"/>
        <w:jc w:val="both"/>
      </w:pPr>
      <w:r>
        <w:rPr>
          <w:rFonts w:ascii="Calibri" w:cs="Calibri" w:eastAsia="Calibri" w:hAnsi="Calibri"/>
          <w:sz w:val="22"/>
          <w:szCs w:val="22"/>
        </w:rPr>
        <w:t xml:space="preserve">Feature-importance analysis of the demographic models reinforced the sociological literature. Excluding state-level dummies, the religion of both partners and the occupation of both partners dominated, followed by education — consistent with the heterogamy effects reported by Ackerson et al. and Bennett et al. The leading predictors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left"/>
            </w:pPr>
            <w:r>
              <w:rPr>
                <w:rFonts w:ascii="Calibri" w:cs="Calibri" w:eastAsia="Calibri" w:hAnsi="Calibri"/>
                <w:b/>
                <w:bCs/>
                <w:color w:val="FFFFFF"/>
                <w:sz w:val="20"/>
                <w:szCs w:val="20"/>
              </w:rPr>
              <w:t xml:space="preserve">Predictor</w:t>
            </w:r>
          </w:p>
        </w:tc>
        <w:tc>
          <w:tcPr>
            <w:tcW w:type="dxa" w:w="3600"/>
            <w:tcBorders>
              <w:top w:val="single" w:color="BBBBBB" w:sz="1"/>
              <w:left w:val="single" w:color="BBBBBB" w:sz="1"/>
              <w:bottom w:val="single" w:color="BBBBBB" w:sz="1"/>
              <w:right w:val="single" w:color="BBBBBB" w:sz="1"/>
            </w:tcBorders>
            <w:shd w:fill="1F4E79" w:val="clear"/>
            <w:tcMar>
              <w:top w:type="dxa" w:w="64"/>
              <w:left w:type="dxa" w:w="104"/>
              <w:bottom w:type="dxa" w:w="64"/>
              <w:right w:type="dxa" w:w="104"/>
            </w:tcMar>
            <w:vAlign w:val="center"/>
          </w:tcPr>
          <w:p>
            <w:pPr>
              <w:spacing w:after="0" w:line="258"/>
              <w:jc w:val="center"/>
            </w:pPr>
            <w:r>
              <w:rPr>
                <w:rFonts w:ascii="Calibri" w:cs="Calibri" w:eastAsia="Calibri" w:hAnsi="Calibri"/>
                <w:b/>
                <w:bCs/>
                <w:color w:val="FFFFFF"/>
                <w:sz w:val="20"/>
                <w:szCs w:val="20"/>
              </w:rPr>
              <w:t xml:space="preserve">Relative Importance (%)</w:t>
            </w:r>
          </w:p>
        </w:tc>
      </w:tr>
      <w:tr>
        <w:tc>
          <w:tcPr>
            <w:tcW w:type="dxa" w:w="576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Wife’s religion</w:t>
            </w:r>
          </w:p>
        </w:tc>
        <w:tc>
          <w:tcPr>
            <w:tcW w:type="dxa" w:w="36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20.3</w:t>
            </w:r>
          </w:p>
        </w:tc>
      </w:tr>
      <w:tr>
        <w:tc>
          <w:tcPr>
            <w:tcW w:type="dxa" w:w="576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Husband’s religion</w:t>
            </w:r>
          </w:p>
        </w:tc>
        <w:tc>
          <w:tcPr>
            <w:tcW w:type="dxa" w:w="36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15.5</w:t>
            </w:r>
          </w:p>
        </w:tc>
      </w:tr>
      <w:tr>
        <w:tc>
          <w:tcPr>
            <w:tcW w:type="dxa" w:w="576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Wife’s occupation (grouped)</w:t>
            </w:r>
          </w:p>
        </w:tc>
        <w:tc>
          <w:tcPr>
            <w:tcW w:type="dxa" w:w="36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14.7</w:t>
            </w:r>
          </w:p>
        </w:tc>
      </w:tr>
      <w:tr>
        <w:tc>
          <w:tcPr>
            <w:tcW w:type="dxa" w:w="576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Husband’s occupation (grouped)</w:t>
            </w:r>
          </w:p>
        </w:tc>
        <w:tc>
          <w:tcPr>
            <w:tcW w:type="dxa" w:w="36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14.4</w:t>
            </w:r>
          </w:p>
        </w:tc>
      </w:tr>
      <w:tr>
        <w:tc>
          <w:tcPr>
            <w:tcW w:type="dxa" w:w="576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Husband’s &amp; wife’s education (combined)</w:t>
            </w:r>
          </w:p>
        </w:tc>
        <w:tc>
          <w:tcPr>
            <w:tcW w:type="dxa" w:w="3600"/>
            <w:tcBorders>
              <w:top w:val="single" w:color="BBBBBB" w:sz="1"/>
              <w:left w:val="single" w:color="BBBBBB" w:sz="1"/>
              <w:bottom w:val="single" w:color="BBBBBB" w:sz="1"/>
              <w:right w:val="single" w:color="BBBBBB" w:sz="1"/>
            </w:tcBorders>
            <w:shd w:fill="FFFFFF"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15.3</w:t>
            </w:r>
          </w:p>
        </w:tc>
      </w:tr>
      <w:tr>
        <w:tc>
          <w:tcPr>
            <w:tcW w:type="dxa" w:w="576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left"/>
            </w:pPr>
            <w:r>
              <w:rPr>
                <w:rFonts w:ascii="Calibri" w:cs="Calibri" w:eastAsia="Calibri" w:hAnsi="Calibri"/>
                <w:b/>
                <w:bCs/>
                <w:sz w:val="20"/>
                <w:szCs w:val="20"/>
              </w:rPr>
              <w:t xml:space="preserve">Ethnicity, residence, age, height (combined)</w:t>
            </w:r>
          </w:p>
        </w:tc>
        <w:tc>
          <w:tcPr>
            <w:tcW w:type="dxa" w:w="3600"/>
            <w:tcBorders>
              <w:top w:val="single" w:color="BBBBBB" w:sz="1"/>
              <w:left w:val="single" w:color="BBBBBB" w:sz="1"/>
              <w:bottom w:val="single" w:color="BBBBBB" w:sz="1"/>
              <w:right w:val="single" w:color="BBBBBB" w:sz="1"/>
            </w:tcBorders>
            <w:shd w:fill="EAF1F8" w:val="clear"/>
            <w:tcMar>
              <w:top w:type="dxa" w:w="64"/>
              <w:left w:type="dxa" w:w="104"/>
              <w:bottom w:type="dxa" w:w="64"/>
              <w:right w:type="dxa" w:w="104"/>
            </w:tcMar>
            <w:vAlign w:val="center"/>
          </w:tcPr>
          <w:p>
            <w:pPr>
              <w:spacing w:after="0" w:line="258"/>
              <w:jc w:val="center"/>
            </w:pPr>
            <w:r>
              <w:rPr>
                <w:rFonts w:ascii="Calibri" w:cs="Calibri" w:eastAsia="Calibri" w:hAnsi="Calibri"/>
                <w:b w:val="false"/>
                <w:bCs w:val="false"/>
                <w:sz w:val="20"/>
                <w:szCs w:val="20"/>
              </w:rPr>
              <w:t xml:space="preserve">≈ 19.8</w:t>
            </w:r>
          </w:p>
        </w:tc>
      </w:tr>
    </w:tbl>
    <w:p>
      <w:pPr>
        <w:spacing w:after="170" w:before="60"/>
      </w:pPr>
      <w:r>
        <w:rPr>
          <w:rFonts w:ascii="Calibri" w:cs="Calibri" w:eastAsia="Calibri" w:hAnsi="Calibri"/>
          <w:i/>
          <w:iCs/>
          <w:color w:val="666666"/>
          <w:sz w:val="19"/>
          <w:szCs w:val="19"/>
        </w:rPr>
        <w:t xml:space="preserve">Table 5.7  Leading demographic predictors of the stability target (state dummies excluded).</w:t>
      </w:r>
    </w:p>
    <w:p>
      <w:pPr>
        <w:pStyle w:val="Heading2"/>
        <w:spacing w:after="100" w:before="220"/>
      </w:pPr>
      <w:r>
        <w:rPr>
          <w:rFonts w:ascii="Calibri" w:cs="Calibri" w:eastAsia="Calibri" w:hAnsi="Calibri"/>
          <w:b/>
          <w:bCs/>
          <w:color w:val="2E75B6"/>
          <w:sz w:val="25"/>
          <w:szCs w:val="25"/>
        </w:rPr>
        <w:t xml:space="preserve">5.5.7  Statistical Validation of Resampling</w:t>
      </w:r>
    </w:p>
    <w:p>
      <w:pPr>
        <w:spacing w:after="80" w:line="288"/>
        <w:jc w:val="both"/>
      </w:pPr>
      <w:r>
        <w:rPr>
          <w:rFonts w:ascii="Calibri" w:cs="Calibri" w:eastAsia="Calibri" w:hAnsi="Calibri"/>
          <w:sz w:val="22"/>
          <w:szCs w:val="22"/>
        </w:rPr>
        <w:t xml:space="preserve">Because resampling can distort a dataset, a global statistical audit compared the original and the balanced training data. Independent t-tests on continuous variables (husband’s age, wife’s age, wife’s height) and chi-square tests on categorical variables were used to verify that balancing did not materially shift the global distributions of key features. This audit provides evidence that the performance gains from balancing arise from a fairer class distribution rather than from a corrupted feature space.</w:t>
      </w:r>
    </w:p>
    <w:p>
      <w:pPr>
        <w:pStyle w:val="Heading1"/>
        <w:pBdr>
          <w:bottom w:val="single" w:color="2E75B6" w:sz="6" w:space="2"/>
        </w:pBdr>
        <w:spacing w:after="160" w:before="300"/>
      </w:pPr>
      <w:r>
        <w:rPr>
          <w:rFonts w:ascii="Calibri" w:cs="Calibri" w:eastAsia="Calibri" w:hAnsi="Calibri"/>
          <w:b/>
          <w:bCs/>
          <w:color w:val="1F4E79"/>
          <w:sz w:val="30"/>
          <w:szCs w:val="30"/>
        </w:rPr>
        <w:t xml:space="preserve">5.6  Discussion of Results</w:t>
      </w:r>
    </w:p>
    <w:p>
      <w:pPr>
        <w:spacing w:after="70" w:before="160"/>
      </w:pPr>
      <w:r>
        <w:rPr>
          <w:rFonts w:ascii="Calibri" w:cs="Calibri" w:eastAsia="Calibri" w:hAnsi="Calibri"/>
          <w:b/>
          <w:bCs/>
          <w:color w:val="333333"/>
          <w:sz w:val="22"/>
          <w:szCs w:val="22"/>
        </w:rPr>
        <w:t xml:space="preserve">5.6.1  Accuracy Is the Wrong Headline Metric</w:t>
      </w:r>
    </w:p>
    <w:p>
      <w:pPr>
        <w:spacing w:after="120" w:line="288"/>
        <w:jc w:val="both"/>
      </w:pPr>
      <w:r>
        <w:rPr>
          <w:rFonts w:ascii="Calibri" w:cs="Calibri" w:eastAsia="Calibri" w:hAnsi="Calibri"/>
          <w:sz w:val="22"/>
          <w:szCs w:val="22"/>
        </w:rPr>
        <w:t xml:space="preserve">The single most important finding is that accuracy is actively misleading for this problem. The models with the highest accuracy (0.77) were the least useful, detecting only 1–2% of high-risk marriages. Once the evaluation focus shifted to high-risk recall, the apparent “best” models were revealed as the worst. This is a textbook manifestation of the accuracy paradox under a 77:23 class split, and it justified the project’s pivot away from accuracy-driven model selection.</w:t>
      </w:r>
    </w:p>
    <w:p>
      <w:pPr>
        <w:spacing w:after="70" w:before="160"/>
      </w:pPr>
      <w:r>
        <w:rPr>
          <w:rFonts w:ascii="Calibri" w:cs="Calibri" w:eastAsia="Calibri" w:hAnsi="Calibri"/>
          <w:b/>
          <w:bCs/>
          <w:color w:val="333333"/>
          <w:sz w:val="22"/>
          <w:szCs w:val="22"/>
        </w:rPr>
        <w:t xml:space="preserve">5.6.2  The Precision–Recall Trade-off and Safety</w:t>
      </w:r>
    </w:p>
    <w:p>
      <w:pPr>
        <w:spacing w:after="120" w:line="288"/>
        <w:jc w:val="both"/>
      </w:pPr>
      <w:r>
        <w:rPr>
          <w:rFonts w:ascii="Calibri" w:cs="Calibri" w:eastAsia="Calibri" w:hAnsi="Calibri"/>
          <w:sz w:val="22"/>
          <w:szCs w:val="22"/>
        </w:rPr>
        <w:t xml:space="preserve">For a matrimonial matchmaker, a false negative (failing to flag a genuinely high-risk marriage) is far costlier than a false positive (flagging a stable one for review). The recall-oriented models therefore represent a defensible design choice even though they raise false alarms. The final hybrid model strikes the most acceptable balance, achieving near-equal recall on both classes rather than maximising either alone.</w:t>
      </w:r>
    </w:p>
    <w:p>
      <w:pPr>
        <w:spacing w:after="70" w:before="160"/>
      </w:pPr>
      <w:r>
        <w:rPr>
          <w:rFonts w:ascii="Calibri" w:cs="Calibri" w:eastAsia="Calibri" w:hAnsi="Calibri"/>
          <w:b/>
          <w:bCs/>
          <w:color w:val="333333"/>
          <w:sz w:val="22"/>
          <w:szCs w:val="22"/>
        </w:rPr>
        <w:t xml:space="preserve">5.6.3  Why the Deterministic Target Won</w:t>
      </w:r>
    </w:p>
    <w:p>
      <w:pPr>
        <w:spacing w:after="120" w:line="288"/>
        <w:jc w:val="both"/>
      </w:pPr>
      <w:r>
        <w:rPr>
          <w:rFonts w:ascii="Calibri" w:cs="Calibri" w:eastAsia="Calibri" w:hAnsi="Calibri"/>
          <w:sz w:val="22"/>
          <w:szCs w:val="22"/>
        </w:rPr>
        <w:t xml:space="preserve">Unsupervised K-Means produced coherent clusters but, when used as a learning target, biased models toward the majority. The deterministic red-flag target — derived transparently from the severity of the survey items — gave a label that is reproducible, explainable, and aligned with the safety objective. The shift from a data-driven to a domain-driven target was the decisive methodological improvement, and it is what made balanced recall achievable.</w:t>
      </w:r>
    </w:p>
    <w:p>
      <w:pPr>
        <w:spacing w:after="70" w:before="160"/>
      </w:pPr>
      <w:r>
        <w:rPr>
          <w:rFonts w:ascii="Calibri" w:cs="Calibri" w:eastAsia="Calibri" w:hAnsi="Calibri"/>
          <w:b/>
          <w:bCs/>
          <w:color w:val="333333"/>
          <w:sz w:val="22"/>
          <w:szCs w:val="22"/>
        </w:rPr>
        <w:t xml:space="preserve">5.6.4  Dependencies Between Abuse Indicators</w:t>
      </w:r>
    </w:p>
    <w:p>
      <w:pPr>
        <w:spacing w:after="120" w:line="288"/>
        <w:jc w:val="both"/>
      </w:pPr>
      <w:r>
        <w:rPr>
          <w:rFonts w:ascii="Calibri" w:cs="Calibri" w:eastAsia="Calibri" w:hAnsi="Calibri"/>
          <w:sz w:val="22"/>
          <w:szCs w:val="22"/>
        </w:rPr>
        <w:t xml:space="preserve">The classifier-chain results show that the nine indicators are not independent: conditioning later predictions on earlier ones improved accuracy on almost every item. This supports the project’s sociological premise that controlling behaviour, violence, and fear co-occur in identifiable patterns, and that modelling these relationships is preferable to treating each indicator in isolation.</w:t>
      </w:r>
    </w:p>
    <w:p>
      <w:pPr>
        <w:spacing w:after="70" w:before="160"/>
      </w:pPr>
      <w:r>
        <w:rPr>
          <w:rFonts w:ascii="Calibri" w:cs="Calibri" w:eastAsia="Calibri" w:hAnsi="Calibri"/>
          <w:b/>
          <w:bCs/>
          <w:color w:val="333333"/>
          <w:sz w:val="22"/>
          <w:szCs w:val="22"/>
        </w:rPr>
        <w:t xml:space="preserve">5.6.5  Consistency with the Literature</w:t>
      </w:r>
    </w:p>
    <w:p>
      <w:pPr>
        <w:spacing w:after="120" w:line="288"/>
        <w:jc w:val="both"/>
      </w:pPr>
      <w:r>
        <w:rPr>
          <w:rFonts w:ascii="Calibri" w:cs="Calibri" w:eastAsia="Calibri" w:hAnsi="Calibri"/>
          <w:sz w:val="22"/>
          <w:szCs w:val="22"/>
        </w:rPr>
        <w:t xml:space="preserve">The feature-importance results agree with the supporting research: religion, occupation, and education — the classic dimensions of homogamy / heterogamy — are the strongest structured predictors, and the engineered age-gap and education features map directly onto findings from Shita &amp; Zeleke, Bennett et al., and Ackerson et al. The model is therefore not only data-driven but also theoretically grounded.</w:t>
      </w:r>
    </w:p>
    <w:p>
      <w:pPr>
        <w:spacing w:after="70" w:before="160"/>
      </w:pPr>
      <w:r>
        <w:rPr>
          <w:rFonts w:ascii="Calibri" w:cs="Calibri" w:eastAsia="Calibri" w:hAnsi="Calibri"/>
          <w:b/>
          <w:bCs/>
          <w:color w:val="333333"/>
          <w:sz w:val="22"/>
          <w:szCs w:val="22"/>
        </w:rPr>
        <w:t xml:space="preserve">5.6.6  Limitations</w:t>
      </w:r>
    </w:p>
    <w:p>
      <w:pPr>
        <w:pStyle w:val="ListParagraph"/>
        <w:numPr>
          <w:ilvl w:val="0"/>
          <w:numId w:val="2"/>
        </w:numPr>
        <w:spacing w:after="60" w:line="282"/>
      </w:pPr>
      <w:r>
        <w:rPr>
          <w:rFonts w:ascii="Calibri" w:cs="Calibri" w:eastAsia="Calibri" w:hAnsi="Calibri"/>
          <w:b/>
          <w:bCs/>
          <w:sz w:val="22"/>
          <w:szCs w:val="22"/>
        </w:rPr>
        <w:t xml:space="preserve">Proxy target. </w:t>
      </w:r>
      <w:r>
        <w:rPr>
          <w:rFonts w:ascii="Calibri" w:cs="Calibri" w:eastAsia="Calibri" w:hAnsi="Calibri"/>
          <w:sz w:val="22"/>
          <w:szCs w:val="22"/>
        </w:rPr>
        <w:t xml:space="preserve">Stability is inferred from survey indicators of conflict and control, not from longitudinal divorce outcomes; it is a proxy, not a direct measure of marital failure.</w:t>
      </w:r>
    </w:p>
    <w:p>
      <w:pPr>
        <w:pStyle w:val="ListParagraph"/>
        <w:numPr>
          <w:ilvl w:val="0"/>
          <w:numId w:val="2"/>
        </w:numPr>
        <w:spacing w:after="60" w:line="282"/>
      </w:pPr>
      <w:r>
        <w:rPr>
          <w:rFonts w:ascii="Calibri" w:cs="Calibri" w:eastAsia="Calibri" w:hAnsi="Calibri"/>
          <w:b/>
          <w:bCs/>
          <w:sz w:val="22"/>
          <w:szCs w:val="22"/>
        </w:rPr>
        <w:t xml:space="preserve">Residual imbalance. </w:t>
      </w:r>
      <w:r>
        <w:rPr>
          <w:rFonts w:ascii="Calibri" w:cs="Calibri" w:eastAsia="Calibri" w:hAnsi="Calibri"/>
          <w:sz w:val="22"/>
          <w:szCs w:val="22"/>
        </w:rPr>
        <w:t xml:space="preserve">Even after balancing, high-risk F1 remains modest (≈0.4–0.6); detecting the minority class reliably is intrinsically difficult.</w:t>
      </w:r>
    </w:p>
    <w:p>
      <w:pPr>
        <w:pStyle w:val="ListParagraph"/>
        <w:numPr>
          <w:ilvl w:val="0"/>
          <w:numId w:val="2"/>
        </w:numPr>
        <w:spacing w:after="60" w:line="282"/>
      </w:pPr>
      <w:r>
        <w:rPr>
          <w:rFonts w:ascii="Calibri" w:cs="Calibri" w:eastAsia="Calibri" w:hAnsi="Calibri"/>
          <w:b/>
          <w:bCs/>
          <w:sz w:val="22"/>
          <w:szCs w:val="22"/>
        </w:rPr>
        <w:t xml:space="preserve">Prototype scale. </w:t>
      </w:r>
      <w:r>
        <w:rPr>
          <w:rFonts w:ascii="Calibri" w:cs="Calibri" w:eastAsia="Calibri" w:hAnsi="Calibri"/>
          <w:sz w:val="22"/>
          <w:szCs w:val="22"/>
        </w:rPr>
        <w:t xml:space="preserve">The system has no live user-interaction data yet, so the graph / embedding component of Layer 2 is design-complete but not trained at scale.</w:t>
      </w:r>
    </w:p>
    <w:p>
      <w:pPr>
        <w:pStyle w:val="ListParagraph"/>
        <w:numPr>
          <w:ilvl w:val="0"/>
          <w:numId w:val="2"/>
        </w:numPr>
        <w:spacing w:after="60" w:line="282"/>
      </w:pPr>
      <w:r>
        <w:rPr>
          <w:rFonts w:ascii="Calibri" w:cs="Calibri" w:eastAsia="Calibri" w:hAnsi="Calibri"/>
          <w:b/>
          <w:bCs/>
          <w:sz w:val="22"/>
          <w:szCs w:val="22"/>
        </w:rPr>
        <w:t xml:space="preserve">Cross-sectional data. </w:t>
      </w:r>
      <w:r>
        <w:rPr>
          <w:rFonts w:ascii="Calibri" w:cs="Calibri" w:eastAsia="Calibri" w:hAnsi="Calibri"/>
          <w:sz w:val="22"/>
          <w:szCs w:val="22"/>
        </w:rPr>
        <w:t xml:space="preserve">The DHS data is cross-sectional, so the models capture association rather than causation.</w:t>
      </w:r>
    </w:p>
    <w:p>
      <w:pPr>
        <w:pStyle w:val="Heading1"/>
        <w:pBdr>
          <w:bottom w:val="single" w:color="2E75B6" w:sz="6" w:space="2"/>
        </w:pBdr>
        <w:spacing w:after="160" w:before="300"/>
      </w:pPr>
      <w:r>
        <w:rPr>
          <w:rFonts w:ascii="Calibri" w:cs="Calibri" w:eastAsia="Calibri" w:hAnsi="Calibri"/>
          <w:b/>
          <w:bCs/>
          <w:color w:val="1F4E79"/>
          <w:sz w:val="30"/>
          <w:szCs w:val="30"/>
        </w:rPr>
        <w:t xml:space="preserve">5.7  Summary</w:t>
      </w:r>
    </w:p>
    <w:p>
      <w:pPr>
        <w:spacing w:after="120" w:line="288"/>
        <w:jc w:val="both"/>
      </w:pPr>
      <w:r>
        <w:rPr>
          <w:rFonts w:ascii="Calibri" w:cs="Calibri" w:eastAsia="Calibri" w:hAnsi="Calibri"/>
          <w:sz w:val="22"/>
          <w:szCs w:val="22"/>
        </w:rPr>
        <w:t xml:space="preserve">Testing confirmed that the rule-based layer behaves correctly across all functional scenarios, and the machine-learning experiments produced a coherent, honest performance story. Per-question models reached ≈80% accuracy; single-target models exposed a severe accuracy paradox; resampling and threshold tuning traded accuracy for recall; and the final deterministic, rule-based hybrid model achieved the project’s best balanced performance, detecting high-risk and stable marriages at comparable rates. Crucially, the project’s value lies not in a single peak accuracy figure but in a defensible, safety-aligned evaluation: the system was tuned to catch the cases that matter, its features agree with the research literature, and its limitations are clearly understood.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Matrimonial Matchmaking: A Machine Learning Approach — Testing, Results and Discussion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Results and Discussion — Matrimonial Matchmaking</dc:title>
  <dc:creator>Project Team</dc:creator>
  <cp:lastModifiedBy>Un-named</cp:lastModifiedBy>
  <cp:revision>1</cp:revision>
  <dcterms:created xsi:type="dcterms:W3CDTF">2026-06-14T18:55:45.272Z</dcterms:created>
  <dcterms:modified xsi:type="dcterms:W3CDTF">2026-06-14T18:55:45.292Z</dcterms:modified>
</cp:coreProperties>
</file>

<file path=docProps/custom.xml><?xml version="1.0" encoding="utf-8"?>
<Properties xmlns="http://schemas.openxmlformats.org/officeDocument/2006/custom-properties" xmlns:vt="http://schemas.openxmlformats.org/officeDocument/2006/docPropsVTypes"/>
</file>