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b/>
          <w:bCs/>
          <w:color w:val="2E75B6"/>
          <w:sz w:val="24"/>
          <w:szCs w:val="24"/>
        </w:rPr>
        <w:t xml:space="preserve">Chapter 6</w:t>
      </w:r>
    </w:p>
    <w:p>
      <w:pPr>
        <w:pBdr>
          <w:bottom w:val="single" w:color="1F4E79" w:sz="8" w:space="3"/>
        </w:pBdr>
        <w:spacing w:after="160" w:before="40"/>
      </w:pPr>
      <w:r>
        <w:rPr>
          <w:rFonts w:ascii="Calibri" w:cs="Calibri" w:eastAsia="Calibri" w:hAnsi="Calibri"/>
          <w:b/>
          <w:bCs/>
          <w:color w:val="1F4E79"/>
          <w:sz w:val="34"/>
          <w:szCs w:val="34"/>
        </w:rPr>
        <w:t xml:space="preserve">Scope for Future Improvement and Conclusion</w:t>
      </w:r>
    </w:p>
    <w:p>
      <w:pPr>
        <w:pStyle w:val="Heading1"/>
        <w:pBdr>
          <w:bottom w:val="single" w:color="2E75B6" w:sz="6" w:space="2"/>
        </w:pBdr>
        <w:spacing w:after="130" w:before="240"/>
      </w:pPr>
      <w:r>
        <w:rPr>
          <w:rFonts w:ascii="Calibri" w:cs="Calibri" w:eastAsia="Calibri" w:hAnsi="Calibri"/>
          <w:b/>
          <w:bCs/>
          <w:color w:val="1F4E79"/>
          <w:sz w:val="28"/>
          <w:szCs w:val="28"/>
        </w:rPr>
        <w:t xml:space="preserve">6.1  Scope for Future Improvement</w:t>
      </w:r>
    </w:p>
    <w:p>
      <w:pPr>
        <w:spacing w:after="110" w:line="276"/>
        <w:jc w:val="both"/>
      </w:pPr>
      <w:r>
        <w:rPr>
          <w:rFonts w:ascii="Calibri" w:cs="Calibri" w:eastAsia="Calibri" w:hAnsi="Calibri"/>
          <w:sz w:val="22"/>
          <w:szCs w:val="22"/>
        </w:rPr>
        <w:t xml:space="preserve">Although the proposed system meets its core objectives, several avenues exist to extend its capability, accuracy, and real-world readiness. These directions build naturally on the hybrid rule-based and machine-learning foundation established in this project.</w:t>
      </w:r>
    </w:p>
    <w:p>
      <w:pPr>
        <w:pStyle w:val="ListParagraph"/>
        <w:numPr>
          <w:ilvl w:val="0"/>
          <w:numId w:val="2"/>
        </w:numPr>
        <w:spacing w:after="50" w:line="268"/>
      </w:pPr>
      <w:r>
        <w:rPr>
          <w:rFonts w:ascii="Calibri" w:cs="Calibri" w:eastAsia="Calibri" w:hAnsi="Calibri"/>
          <w:b/>
          <w:bCs/>
          <w:sz w:val="21"/>
          <w:szCs w:val="21"/>
        </w:rPr>
        <w:t xml:space="preserve">Training the relational graph layer on live data. </w:t>
      </w:r>
      <w:r>
        <w:rPr>
          <w:rFonts w:ascii="Calibri" w:cs="Calibri" w:eastAsia="Calibri" w:hAnsi="Calibri"/>
          <w:sz w:val="21"/>
          <w:szCs w:val="21"/>
        </w:rPr>
        <w:t xml:space="preserve">The Graph Neural Network and behavioural-embedding component of Layer 2 is design-complete but currently data-limited. As the platform accumulates real user interactions — profile views, messages, and accepted or rejected matches — these embeddings can be trained to capture latent preferences that static attributes cannot express.</w:t>
      </w:r>
    </w:p>
    <w:p>
      <w:pPr>
        <w:pStyle w:val="ListParagraph"/>
        <w:numPr>
          <w:ilvl w:val="0"/>
          <w:numId w:val="2"/>
        </w:numPr>
        <w:spacing w:after="50" w:line="268"/>
      </w:pPr>
      <w:r>
        <w:rPr>
          <w:rFonts w:ascii="Calibri" w:cs="Calibri" w:eastAsia="Calibri" w:hAnsi="Calibri"/>
          <w:b/>
          <w:bCs/>
          <w:sz w:val="21"/>
          <w:szCs w:val="21"/>
        </w:rPr>
        <w:t xml:space="preserve">Natural-language processing of free-text expectations. </w:t>
      </w:r>
      <w:r>
        <w:rPr>
          <w:rFonts w:ascii="Calibri" w:cs="Calibri" w:eastAsia="Calibri" w:hAnsi="Calibri"/>
          <w:sz w:val="21"/>
          <w:szCs w:val="21"/>
        </w:rPr>
        <w:t xml:space="preserve">Users often describe their ideal partner in free text. An NLP pipeline could extract structured features and sentiment from such descriptions, enriching the compatibility model beyond fixed demographic fields.</w:t>
      </w:r>
    </w:p>
    <w:p>
      <w:pPr>
        <w:pStyle w:val="ListParagraph"/>
        <w:numPr>
          <w:ilvl w:val="0"/>
          <w:numId w:val="2"/>
        </w:numPr>
        <w:spacing w:after="50" w:line="268"/>
      </w:pPr>
      <w:r>
        <w:rPr>
          <w:rFonts w:ascii="Calibri" w:cs="Calibri" w:eastAsia="Calibri" w:hAnsi="Calibri"/>
          <w:b/>
          <w:bCs/>
          <w:sz w:val="21"/>
          <w:szCs w:val="21"/>
        </w:rPr>
        <w:t xml:space="preserve">Longitudinal outcome data. </w:t>
      </w:r>
      <w:r>
        <w:rPr>
          <w:rFonts w:ascii="Calibri" w:cs="Calibri" w:eastAsia="Calibri" w:hAnsi="Calibri"/>
          <w:sz w:val="21"/>
          <w:szCs w:val="21"/>
        </w:rPr>
        <w:t xml:space="preserve">The present model learns from a cross-sectional survey, so its stability label is a proxy. Incorporating longitudinal data that tracks marriages over time would allow the model to learn from genuine long-term outcomes rather than point-in-time indicators.</w:t>
      </w:r>
    </w:p>
    <w:p>
      <w:pPr>
        <w:pStyle w:val="ListParagraph"/>
        <w:numPr>
          <w:ilvl w:val="0"/>
          <w:numId w:val="2"/>
        </w:numPr>
        <w:spacing w:after="50" w:line="268"/>
      </w:pPr>
      <w:r>
        <w:rPr>
          <w:rFonts w:ascii="Calibri" w:cs="Calibri" w:eastAsia="Calibri" w:hAnsi="Calibri"/>
          <w:b/>
          <w:bCs/>
          <w:sz w:val="21"/>
          <w:szCs w:val="21"/>
        </w:rPr>
        <w:t xml:space="preserve">Stronger minority-class detection. </w:t>
      </w:r>
      <w:r>
        <w:rPr>
          <w:rFonts w:ascii="Calibri" w:cs="Calibri" w:eastAsia="Calibri" w:hAnsi="Calibri"/>
          <w:sz w:val="21"/>
          <w:szCs w:val="21"/>
        </w:rPr>
        <w:t xml:space="preserve">High-risk recall, while improved, remains modest. Advanced techniques — cost-sensitive learning, ensemble methods, focal loss, or anomaly-detection framings — could further improve reliable identification of the high-risk minority.</w:t>
      </w:r>
    </w:p>
    <w:p>
      <w:pPr>
        <w:pStyle w:val="ListParagraph"/>
        <w:numPr>
          <w:ilvl w:val="0"/>
          <w:numId w:val="2"/>
        </w:numPr>
        <w:spacing w:after="50" w:line="268"/>
      </w:pPr>
      <w:r>
        <w:rPr>
          <w:rFonts w:ascii="Calibri" w:cs="Calibri" w:eastAsia="Calibri" w:hAnsi="Calibri"/>
          <w:b/>
          <w:bCs/>
          <w:sz w:val="21"/>
          <w:szCs w:val="21"/>
        </w:rPr>
        <w:t xml:space="preserve">Reciprocal and deep recommendation models. </w:t>
      </w:r>
      <w:r>
        <w:rPr>
          <w:rFonts w:ascii="Calibri" w:cs="Calibri" w:eastAsia="Calibri" w:hAnsi="Calibri"/>
          <w:sz w:val="21"/>
          <w:szCs w:val="21"/>
        </w:rPr>
        <w:t xml:space="preserve">Architectures such as reciprocal recommendation networks and coupled-attention models could be integrated to learn mutual compatibility end-to-end, complementing the explicit two-way rule layer.</w:t>
      </w:r>
    </w:p>
    <w:p>
      <w:pPr>
        <w:pStyle w:val="ListParagraph"/>
        <w:numPr>
          <w:ilvl w:val="0"/>
          <w:numId w:val="2"/>
        </w:numPr>
        <w:spacing w:after="50" w:line="268"/>
      </w:pPr>
      <w:r>
        <w:rPr>
          <w:rFonts w:ascii="Calibri" w:cs="Calibri" w:eastAsia="Calibri" w:hAnsi="Calibri"/>
          <w:b/>
          <w:bCs/>
          <w:sz w:val="21"/>
          <w:szCs w:val="21"/>
        </w:rPr>
        <w:t xml:space="preserve">Explainable recommendations. </w:t>
      </w:r>
      <w:r>
        <w:rPr>
          <w:rFonts w:ascii="Calibri" w:cs="Calibri" w:eastAsia="Calibri" w:hAnsi="Calibri"/>
          <w:sz w:val="21"/>
          <w:szCs w:val="21"/>
        </w:rPr>
        <w:t xml:space="preserve">User-facing explanations — showing which factors drove a match score — would increase trust and transparency, addressing a concern repeatedly raised in AI-matchmaking research.</w:t>
      </w:r>
    </w:p>
    <w:p>
      <w:pPr>
        <w:pStyle w:val="ListParagraph"/>
        <w:numPr>
          <w:ilvl w:val="0"/>
          <w:numId w:val="2"/>
        </w:numPr>
        <w:spacing w:after="50" w:line="268"/>
      </w:pPr>
      <w:r>
        <w:rPr>
          <w:rFonts w:ascii="Calibri" w:cs="Calibri" w:eastAsia="Calibri" w:hAnsi="Calibri"/>
          <w:b/>
          <w:bCs/>
          <w:sz w:val="21"/>
          <w:szCs w:val="21"/>
        </w:rPr>
        <w:t xml:space="preserve">Cold-start and dynamic preferences. </w:t>
      </w:r>
      <w:r>
        <w:rPr>
          <w:rFonts w:ascii="Calibri" w:cs="Calibri" w:eastAsia="Calibri" w:hAnsi="Calibri"/>
          <w:sz w:val="21"/>
          <w:szCs w:val="21"/>
        </w:rPr>
        <w:t xml:space="preserve">Mechanisms to handle new users with little history, and to adapt as a user’s preferences evolve through feedback, would make recommendations more responsive over time.</w:t>
      </w:r>
    </w:p>
    <w:p>
      <w:pPr>
        <w:pStyle w:val="ListParagraph"/>
        <w:numPr>
          <w:ilvl w:val="0"/>
          <w:numId w:val="2"/>
        </w:numPr>
        <w:spacing w:after="50" w:line="268"/>
      </w:pPr>
      <w:r>
        <w:rPr>
          <w:rFonts w:ascii="Calibri" w:cs="Calibri" w:eastAsia="Calibri" w:hAnsi="Calibri"/>
          <w:b/>
          <w:bCs/>
          <w:sz w:val="21"/>
          <w:szCs w:val="21"/>
        </w:rPr>
        <w:t xml:space="preserve">Fairness, privacy, and security. </w:t>
      </w:r>
      <w:r>
        <w:rPr>
          <w:rFonts w:ascii="Calibri" w:cs="Calibri" w:eastAsia="Calibri" w:hAnsi="Calibri"/>
          <w:sz w:val="21"/>
          <w:szCs w:val="21"/>
        </w:rPr>
        <w:t xml:space="preserve">Continuous bias auditing (for example, across caste, religion, and region), stronger data-privacy safeguards, and robust profile verification would be essential for responsible deployment at scale.</w:t>
      </w:r>
    </w:p>
    <w:p>
      <w:pPr>
        <w:pStyle w:val="ListParagraph"/>
        <w:numPr>
          <w:ilvl w:val="0"/>
          <w:numId w:val="2"/>
        </w:numPr>
        <w:spacing w:after="50" w:line="268"/>
      </w:pPr>
      <w:r>
        <w:rPr>
          <w:rFonts w:ascii="Calibri" w:cs="Calibri" w:eastAsia="Calibri" w:hAnsi="Calibri"/>
          <w:b/>
          <w:bCs/>
          <w:sz w:val="21"/>
          <w:szCs w:val="21"/>
        </w:rPr>
        <w:t xml:space="preserve">Productionisation. </w:t>
      </w:r>
      <w:r>
        <w:rPr>
          <w:rFonts w:ascii="Calibri" w:cs="Calibri" w:eastAsia="Calibri" w:hAnsi="Calibri"/>
          <w:sz w:val="21"/>
          <w:szCs w:val="21"/>
        </w:rPr>
        <w:t xml:space="preserve">A scalable web and mobile interface, an optional horoscope-matching module aligned with user expectations, and efficient serving of the trained models would move the prototype toward a deployable product.</w:t>
      </w:r>
    </w:p>
    <w:p>
      <w:pPr>
        <w:pStyle w:val="Heading1"/>
        <w:pBdr>
          <w:bottom w:val="single" w:color="2E75B6" w:sz="6" w:space="2"/>
        </w:pBdr>
        <w:spacing w:after="130" w:before="240"/>
      </w:pPr>
      <w:r>
        <w:rPr>
          <w:rFonts w:ascii="Calibri" w:cs="Calibri" w:eastAsia="Calibri" w:hAnsi="Calibri"/>
          <w:b/>
          <w:bCs/>
          <w:color w:val="1F4E79"/>
          <w:sz w:val="28"/>
          <w:szCs w:val="28"/>
        </w:rPr>
        <w:t xml:space="preserve">6.2  Conclusion</w:t>
      </w:r>
    </w:p>
    <w:p>
      <w:pPr>
        <w:spacing w:after="110" w:line="276"/>
        <w:jc w:val="both"/>
      </w:pPr>
      <w:r>
        <w:rPr>
          <w:rFonts w:ascii="Calibri" w:cs="Calibri" w:eastAsia="Calibri" w:hAnsi="Calibri"/>
          <w:sz w:val="22"/>
          <w:szCs w:val="22"/>
        </w:rPr>
        <w:t xml:space="preserve">This project set out to design and develop a machine-learning-based matrimonial matchmaker that provides users with compatible, reliable matches, moving beyond the rigid demographic filters that characterise most existing platforms. The result is a hybrid recommendation system that unifies two complementary paradigms: a transparent, rule-based mutual-preference layer and a supervised machine-learning compatibility layer.</w:t>
      </w:r>
    </w:p>
    <w:p>
      <w:pPr>
        <w:spacing w:after="110" w:line="276"/>
        <w:jc w:val="both"/>
      </w:pPr>
      <w:r>
        <w:rPr>
          <w:rFonts w:ascii="Calibri" w:cs="Calibri" w:eastAsia="Calibri" w:hAnsi="Calibri"/>
          <w:sz w:val="22"/>
          <w:szCs w:val="22"/>
        </w:rPr>
        <w:t xml:space="preserve">The rule-based layer enforces genuine two-way preference satisfaction, filters inactive and asymmetric candidates, and produces an explainable mutual-compatibility score across six core features. Functional testing confirmed that this layer behaves correctly across all designed scenarios. The machine-learning layer was trained on a large, nationally representative survey of tens of thousands of real couples, with features engineered directly from the marital-stability literature and a target variable defined to reflect genuine relationship safety.</w:t>
      </w:r>
    </w:p>
    <w:p>
      <w:pPr>
        <w:spacing w:after="110" w:line="276"/>
        <w:jc w:val="both"/>
      </w:pPr>
      <w:r>
        <w:rPr>
          <w:rFonts w:ascii="Calibri" w:cs="Calibri" w:eastAsia="Calibri" w:hAnsi="Calibri"/>
          <w:sz w:val="22"/>
          <w:szCs w:val="22"/>
        </w:rPr>
        <w:t xml:space="preserve">The experimental work yielded an honest and instructive performance story. Per-question models reached approximately 80% accuracy, but single-target models exposed a severe accuracy paradox under class imbalance, achieving high accuracy while failing to detect high-risk marriages. By pivoting from an unsupervised cluster target to a deterministic, domain-driven red-flag target and applying resampling and threshold tuning, the final hybrid model achieved balanced detection of both stable and high-risk couples — the behaviour most aligned with the system’s purpose. Feature-importance analysis further confirmed that the model’s reasoning is consistent with established sociological research.</w:t>
      </w:r>
    </w:p>
    <w:p>
      <w:pPr>
        <w:spacing w:after="60" w:line="276"/>
        <w:jc w:val="both"/>
      </w:pPr>
      <w:r>
        <w:rPr>
          <w:rFonts w:ascii="Calibri" w:cs="Calibri" w:eastAsia="Calibri" w:hAnsi="Calibri"/>
          <w:sz w:val="22"/>
          <w:szCs w:val="22"/>
        </w:rPr>
        <w:t xml:space="preserve">In summary, the project demonstrates that combining transparent rule-based reciprocity with outcome-oriented machine learning produces matchmaking that is explainable, mutually fair, and grounded in real data. Where conventional platforms optimise engagement inside opaque algorithms, this system is tuned to predict and prioritise stable, healthy compatibility — and to show its reasoning. It thus provides a strong, extensible foundation for the future enhancements outlined above, and a meaningful step toward more intelligent and responsible matrimonial matchmaking.</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Matrimonial Matchmaking: A Machine Learning Approach — Conclusion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Scope for Future Improvement and Conclusion</dc:title>
  <dc:creator>Project Team</dc:creator>
  <cp:lastModifiedBy>Un-named</cp:lastModifiedBy>
  <cp:revision>1</cp:revision>
  <dcterms:created xsi:type="dcterms:W3CDTF">2026-06-14T19:04:03.385Z</dcterms:created>
  <dcterms:modified xsi:type="dcterms:W3CDTF">2026-06-14T19:04:03.405Z</dcterms:modified>
</cp:coreProperties>
</file>

<file path=docProps/custom.xml><?xml version="1.0" encoding="utf-8"?>
<Properties xmlns="http://schemas.openxmlformats.org/officeDocument/2006/custom-properties" xmlns:vt="http://schemas.openxmlformats.org/officeDocument/2006/docPropsVTypes"/>
</file>