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2E75B6"/>
          <w:sz w:val="24"/>
          <w:szCs w:val="24"/>
        </w:rPr>
        <w:t xml:space="preserve">Chapter 3</w:t>
      </w:r>
    </w:p>
    <w:p>
      <w:pPr>
        <w:pBdr>
          <w:bottom w:val="single" w:color="1F4E79" w:sz="8" w:space="3"/>
        </w:pBdr>
        <w:spacing w:after="200" w:before="40"/>
      </w:pPr>
      <w:r>
        <w:rPr>
          <w:rFonts w:ascii="Calibri" w:cs="Calibri" w:eastAsia="Calibri" w:hAnsi="Calibri"/>
          <w:b/>
          <w:bCs/>
          <w:color w:val="1F4E79"/>
          <w:sz w:val="40"/>
          <w:szCs w:val="40"/>
        </w:rPr>
        <w:t xml:space="preserve">Design and Methodology</w:t>
      </w:r>
    </w:p>
    <w:p>
      <w:pPr>
        <w:pStyle w:val="Heading1"/>
        <w:pBdr>
          <w:bottom w:val="single" w:color="2E75B6" w:sz="6" w:space="2"/>
        </w:pBdr>
        <w:spacing w:after="160" w:before="300"/>
      </w:pPr>
      <w:r>
        <w:rPr>
          <w:rFonts w:ascii="Calibri" w:cs="Calibri" w:eastAsia="Calibri" w:hAnsi="Calibri"/>
          <w:b/>
          <w:bCs/>
          <w:color w:val="1F4E79"/>
          <w:sz w:val="30"/>
          <w:szCs w:val="30"/>
        </w:rPr>
        <w:t xml:space="preserve">3.1  Overview of the Proposed System</w:t>
      </w:r>
    </w:p>
    <w:p>
      <w:pPr>
        <w:spacing w:after="120" w:line="288"/>
        <w:jc w:val="both"/>
      </w:pPr>
      <w:r>
        <w:rPr>
          <w:rFonts w:ascii="Calibri" w:cs="Calibri" w:eastAsia="Calibri" w:hAnsi="Calibri"/>
          <w:sz w:val="22"/>
          <w:szCs w:val="22"/>
        </w:rPr>
        <w:t xml:space="preserve">The proposed system, Matrimonial Matchmaking: A Machine Learning Approach, is designed as a hybrid recommendation engine that unifies two complementary paradigms within a single matchmaking pipeline. The first is a transparent, rule-based mutual-preference matching mechanism that screens and ranks candidate profiles using explicitly stated user criteria. The second is a supervised machine-learning layer that learns deeper, less articulable compatibility patterns from historical couple data and refines the final ranking. The central design principle is that neither paradigm alone is sufficient: pure rule-based filtering cannot capture latent compatibility, while a pure black-box model sacrifices the interpretability and mutual fairness that matrimonial decisions demand.</w:t>
      </w:r>
    </w:p>
    <w:p>
      <w:pPr>
        <w:spacing w:after="120" w:line="288"/>
        <w:jc w:val="both"/>
      </w:pPr>
      <w:r>
        <w:rPr>
          <w:rFonts w:ascii="Calibri" w:cs="Calibri" w:eastAsia="Calibri" w:hAnsi="Calibri"/>
          <w:sz w:val="22"/>
          <w:szCs w:val="22"/>
        </w:rPr>
        <w:t xml:space="preserve">Accordingly, the methodology is organised around four objectives derived from the problem definition: (i) to enforce genuine two-way preference satisfaction before any pair is recommended; (ii) to ground compatibility prediction in real, large-scale relationship data rather than self-reported quizzes; (iii) to engineer features and target variables that reflect established findings from the marital-stability literature; and (iv) to evaluate the models in an imbalance-aware, safety-oriented manner. The remainder of this chapter describes the system architecture, the dataset and its preparation, feature and target construction, the two matching layers, the machine-learning experiments, and the evaluation strategy.</w:t>
      </w:r>
    </w:p>
    <w:p>
      <w:pPr>
        <w:pStyle w:val="Heading1"/>
        <w:pBdr>
          <w:bottom w:val="single" w:color="2E75B6" w:sz="6" w:space="2"/>
        </w:pBdr>
        <w:spacing w:after="160" w:before="300"/>
      </w:pPr>
      <w:r>
        <w:rPr>
          <w:rFonts w:ascii="Calibri" w:cs="Calibri" w:eastAsia="Calibri" w:hAnsi="Calibri"/>
          <w:b/>
          <w:bCs/>
          <w:color w:val="1F4E79"/>
          <w:sz w:val="30"/>
          <w:szCs w:val="30"/>
        </w:rPr>
        <w:t xml:space="preserve">3.2  System Architecture</w:t>
      </w:r>
    </w:p>
    <w:p>
      <w:pPr>
        <w:spacing w:after="120" w:line="288"/>
        <w:jc w:val="both"/>
      </w:pPr>
      <w:r>
        <w:rPr>
          <w:rFonts w:ascii="Calibri" w:cs="Calibri" w:eastAsia="Calibri" w:hAnsi="Calibri"/>
          <w:sz w:val="22"/>
          <w:szCs w:val="22"/>
        </w:rPr>
        <w:t xml:space="preserve">The system follows a layered architecture in which data flows from raw user profiles through a deterministic filtering stage into a learned scoring stage, finally producing a ranked list of recommendations. The architecture comprises five logical components:</w:t>
      </w:r>
    </w:p>
    <w:p>
      <w:pPr>
        <w:pStyle w:val="ListParagraph"/>
        <w:numPr>
          <w:ilvl w:val="0"/>
          <w:numId w:val="2"/>
        </w:numPr>
        <w:spacing w:after="60" w:line="282"/>
      </w:pPr>
      <w:r>
        <w:rPr>
          <w:rFonts w:ascii="Calibri" w:cs="Calibri" w:eastAsia="Calibri" w:hAnsi="Calibri"/>
          <w:b/>
          <w:bCs/>
          <w:sz w:val="22"/>
          <w:szCs w:val="22"/>
        </w:rPr>
        <w:t xml:space="preserve">Data and Profile Layer </w:t>
      </w:r>
      <w:r>
        <w:rPr>
          <w:rFonts w:ascii="Calibri" w:cs="Calibri" w:eastAsia="Calibri" w:hAnsi="Calibri"/>
          <w:sz w:val="22"/>
          <w:szCs w:val="22"/>
        </w:rPr>
        <w:t xml:space="preserve">— stores structured profile attributes and partner-preference attributes for every user, together with activity metadata used to filter inactive accounts.</w:t>
      </w:r>
    </w:p>
    <w:p>
      <w:pPr>
        <w:pStyle w:val="ListParagraph"/>
        <w:numPr>
          <w:ilvl w:val="0"/>
          <w:numId w:val="2"/>
        </w:numPr>
        <w:spacing w:after="60" w:line="282"/>
      </w:pPr>
      <w:r>
        <w:rPr>
          <w:rFonts w:ascii="Calibri" w:cs="Calibri" w:eastAsia="Calibri" w:hAnsi="Calibri"/>
          <w:b/>
          <w:bCs/>
          <w:sz w:val="22"/>
          <w:szCs w:val="22"/>
        </w:rPr>
        <w:t xml:space="preserve">Rule-Based Matching Layer (Layer 1) </w:t>
      </w:r>
      <w:r>
        <w:rPr>
          <w:rFonts w:ascii="Calibri" w:cs="Calibri" w:eastAsia="Calibri" w:hAnsi="Calibri"/>
          <w:sz w:val="22"/>
          <w:szCs w:val="22"/>
        </w:rPr>
        <w:t xml:space="preserve">— performs bidirectional mutual-preference screening and produces a transparent base compatibility percentage for each surviving candidate pair.</w:t>
      </w:r>
    </w:p>
    <w:p>
      <w:pPr>
        <w:pStyle w:val="ListParagraph"/>
        <w:numPr>
          <w:ilvl w:val="0"/>
          <w:numId w:val="2"/>
        </w:numPr>
        <w:spacing w:after="60" w:line="282"/>
      </w:pPr>
      <w:r>
        <w:rPr>
          <w:rFonts w:ascii="Calibri" w:cs="Calibri" w:eastAsia="Calibri" w:hAnsi="Calibri"/>
          <w:b/>
          <w:bCs/>
          <w:sz w:val="22"/>
          <w:szCs w:val="22"/>
        </w:rPr>
        <w:t xml:space="preserve">Machine-Learning Compatibility Layer (Layer 2) </w:t>
      </w:r>
      <w:r>
        <w:rPr>
          <w:rFonts w:ascii="Calibri" w:cs="Calibri" w:eastAsia="Calibri" w:hAnsi="Calibri"/>
          <w:sz w:val="22"/>
          <w:szCs w:val="22"/>
        </w:rPr>
        <w:t xml:space="preserve">— encodes profiles into feature vectors, derives a behavioural / relational representation, and predicts a probability of a stable, satisfactory outcome.</w:t>
      </w:r>
    </w:p>
    <w:p>
      <w:pPr>
        <w:pStyle w:val="ListParagraph"/>
        <w:numPr>
          <w:ilvl w:val="0"/>
          <w:numId w:val="2"/>
        </w:numPr>
        <w:spacing w:after="60" w:line="282"/>
      </w:pPr>
      <w:r>
        <w:rPr>
          <w:rFonts w:ascii="Calibri" w:cs="Calibri" w:eastAsia="Calibri" w:hAnsi="Calibri"/>
          <w:b/>
          <w:bCs/>
          <w:sz w:val="22"/>
          <w:szCs w:val="22"/>
        </w:rPr>
        <w:t xml:space="preserve">Scoring and Ranking Layer </w:t>
      </w:r>
      <w:r>
        <w:rPr>
          <w:rFonts w:ascii="Calibri" w:cs="Calibri" w:eastAsia="Calibri" w:hAnsi="Calibri"/>
          <w:sz w:val="22"/>
          <w:szCs w:val="22"/>
        </w:rPr>
        <w:t xml:space="preserve">— fuses the rule-based score and the ML probability into a unified score and ranks candidates in descending order.</w:t>
      </w:r>
    </w:p>
    <w:p>
      <w:pPr>
        <w:pStyle w:val="ListParagraph"/>
        <w:numPr>
          <w:ilvl w:val="0"/>
          <w:numId w:val="2"/>
        </w:numPr>
        <w:spacing w:after="60" w:line="282"/>
      </w:pPr>
      <w:r>
        <w:rPr>
          <w:rFonts w:ascii="Calibri" w:cs="Calibri" w:eastAsia="Calibri" w:hAnsi="Calibri"/>
          <w:b/>
          <w:bCs/>
          <w:sz w:val="22"/>
          <w:szCs w:val="22"/>
        </w:rPr>
        <w:t xml:space="preserve">Presentation Layer </w:t>
      </w:r>
      <w:r>
        <w:rPr>
          <w:rFonts w:ascii="Calibri" w:cs="Calibri" w:eastAsia="Calibri" w:hAnsi="Calibri"/>
          <w:sz w:val="22"/>
          <w:szCs w:val="22"/>
        </w:rPr>
        <w:t xml:space="preserve">— a user interface for profile creation, preference specification, and viewing of ranked matches.</w:t>
      </w:r>
    </w:p>
    <w:p>
      <w:pPr>
        <w:spacing w:after="80" w:line="288"/>
        <w:jc w:val="both"/>
      </w:pPr>
      <w:r>
        <w:rPr>
          <w:rFonts w:ascii="Calibri" w:cs="Calibri" w:eastAsia="Calibri" w:hAnsi="Calibri"/>
          <w:sz w:val="22"/>
          <w:szCs w:val="22"/>
        </w:rPr>
        <w:t xml:space="preserve">This separation ensures that the easily explainable decisions (does each side meet the other’s stated criteria?) are handled deterministically and remain auditable, while the harder compatibility signal is delegated to a trained model. The two scores are combined only at the final stage, so the contribution of each layer remains traceable.</w:t>
      </w:r>
    </w:p>
    <w:p>
      <w:pPr>
        <w:pStyle w:val="Heading2"/>
        <w:spacing w:after="100" w:before="220"/>
      </w:pPr>
      <w:r>
        <w:rPr>
          <w:rFonts w:ascii="Calibri" w:cs="Calibri" w:eastAsia="Calibri" w:hAnsi="Calibri"/>
          <w:b/>
          <w:bCs/>
          <w:color w:val="2E75B6"/>
          <w:sz w:val="25"/>
          <w:szCs w:val="25"/>
        </w:rPr>
        <w:t xml:space="preserve">3.2.1  Data Flow</w:t>
      </w:r>
    </w:p>
    <w:p>
      <w:pPr>
        <w:spacing w:after="120" w:line="288"/>
        <w:jc w:val="both"/>
      </w:pPr>
      <w:r>
        <w:rPr>
          <w:rFonts w:ascii="Calibri" w:cs="Calibri" w:eastAsia="Calibri" w:hAnsi="Calibri"/>
          <w:sz w:val="22"/>
          <w:szCs w:val="22"/>
        </w:rPr>
        <w:t xml:space="preserve">For a given seeker, the engine first retrieves opposite-gender, recently-active candidate profiles. Each candidate is passed through the mutual-preference screen of Layer 1; those that satisfy the minimum mutual criteria are scored on the six core features and assigned a base mutual-compatibility percentage. The surviving, ranked shortlist is then forwarded to Layer 2, where each seeker–candidate pair is converted into a combined feature representation and scored by the trained classifier. The rule-based percentage and the learned probability are finally combined into the unified ranking presented to the user.</w:t>
      </w:r>
    </w:p>
    <w:p>
      <w:pPr>
        <w:pStyle w:val="Heading1"/>
        <w:pBdr>
          <w:bottom w:val="single" w:color="2E75B6" w:sz="6" w:space="2"/>
        </w:pBdr>
        <w:spacing w:after="160" w:before="300"/>
      </w:pPr>
      <w:r>
        <w:rPr>
          <w:rFonts w:ascii="Calibri" w:cs="Calibri" w:eastAsia="Calibri" w:hAnsi="Calibri"/>
          <w:b/>
          <w:bCs/>
          <w:color w:val="1F4E79"/>
          <w:sz w:val="30"/>
          <w:szCs w:val="30"/>
        </w:rPr>
        <w:t xml:space="preserve">3.3  Dataset Description</w:t>
      </w:r>
    </w:p>
    <w:p>
      <w:pPr>
        <w:spacing w:after="120" w:line="288"/>
        <w:jc w:val="both"/>
      </w:pPr>
      <w:r>
        <w:rPr>
          <w:rFonts w:ascii="Calibri" w:cs="Calibri" w:eastAsia="Calibri" w:hAnsi="Calibri"/>
          <w:sz w:val="22"/>
          <w:szCs w:val="22"/>
        </w:rPr>
        <w:t xml:space="preserve">Two datasets underpin the machine-learning component of the project.</w:t>
      </w:r>
    </w:p>
    <w:p>
      <w:pPr>
        <w:spacing w:after="70" w:before="160"/>
      </w:pPr>
      <w:r>
        <w:rPr>
          <w:rFonts w:ascii="Calibri" w:cs="Calibri" w:eastAsia="Calibri" w:hAnsi="Calibri"/>
          <w:b/>
          <w:bCs/>
          <w:color w:val="333333"/>
          <w:sz w:val="22"/>
          <w:szCs w:val="22"/>
        </w:rPr>
        <w:t xml:space="preserve">3.3.1  Primary Dataset — DHS / National Family Health Survey (Couples File)</w:t>
      </w:r>
    </w:p>
    <w:p>
      <w:pPr>
        <w:spacing w:after="120" w:line="288"/>
        <w:jc w:val="both"/>
      </w:pPr>
      <w:r>
        <w:rPr>
          <w:rFonts w:ascii="Calibri" w:cs="Calibri" w:eastAsia="Calibri" w:hAnsi="Calibri"/>
          <w:sz w:val="22"/>
          <w:szCs w:val="22"/>
        </w:rPr>
        <w:t xml:space="preserve">The principal training corpus is the Indian Demographic and Health Survey couples recode file (IACR7EFL), a nationally representative survey distributed in Stata (.DTA) format. After cleaning, the working dataset contains on the order of 46,000–48,000 married couples, each described by demographic, socioeconomic, and relationship-quality variables. This dataset was selected because it records observed indicators of relationship quality across a very large and diverse population, in contrast to the short self-reported personality quizzes used by commercial platforms. The demographic feature set used for modelling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Feature Group</w:t>
            </w:r>
          </w:p>
        </w:tc>
        <w:tc>
          <w:tcPr>
            <w:tcW w:type="dxa" w:w="67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Attributes Used</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Identification</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Cluster and household identifiers (v001, v002)</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Wife attributes</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Current age, education level, occupation (grouped), religion, ethnicity, height</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Husband attributes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Age, education level, occupation (grouped), religion, ethnicity</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Context</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State / residence (urban–rural)</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Relationship-quality items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Nine survey questions on control, jealousy, humiliation, violence, fear and household decision-making (used to build the target)</w:t>
            </w:r>
          </w:p>
        </w:tc>
      </w:tr>
    </w:tbl>
    <w:p>
      <w:pPr>
        <w:spacing w:after="160" w:before="60"/>
        <w:jc w:val="left"/>
      </w:pPr>
      <w:r>
        <w:rPr>
          <w:rFonts w:ascii="Calibri" w:cs="Calibri" w:eastAsia="Calibri" w:hAnsi="Calibri"/>
          <w:i/>
          <w:iCs/>
          <w:color w:val="666666"/>
          <w:sz w:val="19"/>
          <w:szCs w:val="19"/>
        </w:rPr>
        <w:t xml:space="preserve">Table 3.1  Feature groups derived from the DHS couples file.</w:t>
      </w:r>
    </w:p>
    <w:p>
      <w:pPr>
        <w:spacing w:after="70" w:before="160"/>
      </w:pPr>
      <w:r>
        <w:rPr>
          <w:rFonts w:ascii="Calibri" w:cs="Calibri" w:eastAsia="Calibri" w:hAnsi="Calibri"/>
          <w:b/>
          <w:bCs/>
          <w:color w:val="333333"/>
          <w:sz w:val="22"/>
          <w:szCs w:val="22"/>
        </w:rPr>
        <w:t xml:space="preserve">3.3.2  Secondary Dataset — Love vs. Arranged Marriage</w:t>
      </w:r>
    </w:p>
    <w:p>
      <w:pPr>
        <w:spacing w:after="120" w:line="288"/>
        <w:jc w:val="both"/>
      </w:pPr>
      <w:r>
        <w:rPr>
          <w:rFonts w:ascii="Calibri" w:cs="Calibri" w:eastAsia="Calibri" w:hAnsi="Calibri"/>
          <w:sz w:val="22"/>
          <w:szCs w:val="22"/>
        </w:rPr>
        <w:t xml:space="preserve">A second, structured Love-vs-Arranged marriage dataset is used to train deployable compatibility model artefacts. Its attributes include age at marriage, gender, education level, caste match, religion, urban/rural residence, income level, spouse-working status, inter-caste and inter-religion indicators, with marital satisfaction and divorce status available as outcome labels. This dataset provides a compact, deployment-ready schema closely aligned with the profile fields collected by the matchmaking website, and is used to produce the saved XGBoost and LightGBM models together with their prediction scripts.</w:t>
      </w:r>
    </w:p>
    <w:p>
      <w:r>
        <w:br w:type="page"/>
      </w:r>
    </w:p>
    <w:p>
      <w:pPr>
        <w:pStyle w:val="Heading1"/>
        <w:pBdr>
          <w:bottom w:val="single" w:color="2E75B6" w:sz="6" w:space="2"/>
        </w:pBdr>
        <w:spacing w:after="160" w:before="300"/>
      </w:pPr>
      <w:r>
        <w:rPr>
          <w:rFonts w:ascii="Calibri" w:cs="Calibri" w:eastAsia="Calibri" w:hAnsi="Calibri"/>
          <w:b/>
          <w:bCs/>
          <w:color w:val="1F4E79"/>
          <w:sz w:val="30"/>
          <w:szCs w:val="30"/>
        </w:rPr>
        <w:t xml:space="preserve">3.4  Data Preprocessing and Decoding</w:t>
      </w:r>
    </w:p>
    <w:p>
      <w:pPr>
        <w:spacing w:after="120" w:line="288"/>
        <w:jc w:val="both"/>
      </w:pPr>
      <w:r>
        <w:rPr>
          <w:rFonts w:ascii="Calibri" w:cs="Calibri" w:eastAsia="Calibri" w:hAnsi="Calibri"/>
          <w:sz w:val="22"/>
          <w:szCs w:val="22"/>
        </w:rPr>
        <w:t xml:space="preserve">The DHS file stores responses as numeric codes with separate value-label dictionaries; raw loading therefore yields integers rather than human-readable categories. The preprocessing pipeline addresses this and prepares the data for modelling through the following steps:</w:t>
      </w:r>
    </w:p>
    <w:p>
      <w:pPr>
        <w:pStyle w:val="ListParagraph"/>
        <w:numPr>
          <w:ilvl w:val="0"/>
          <w:numId w:val="3"/>
        </w:numPr>
        <w:spacing w:after="60" w:line="282"/>
      </w:pPr>
      <w:r>
        <w:rPr>
          <w:rFonts w:ascii="Calibri" w:cs="Calibri" w:eastAsia="Calibri" w:hAnsi="Calibri"/>
          <w:b/>
          <w:bCs/>
          <w:sz w:val="22"/>
          <w:szCs w:val="22"/>
        </w:rPr>
        <w:t xml:space="preserve">Raw extraction. </w:t>
      </w:r>
      <w:r>
        <w:rPr>
          <w:rFonts w:ascii="Calibri" w:cs="Calibri" w:eastAsia="Calibri" w:hAnsi="Calibri"/>
          <w:sz w:val="22"/>
          <w:szCs w:val="22"/>
        </w:rPr>
        <w:t xml:space="preserve">The Stata file is read using a StataReader with categorical conversion disabled, so that numeric codes and their value-label dictionaries are obtained separately and label conflicts are avoided.</w:t>
      </w:r>
    </w:p>
    <w:p>
      <w:pPr>
        <w:pStyle w:val="ListParagraph"/>
        <w:numPr>
          <w:ilvl w:val="0"/>
          <w:numId w:val="3"/>
        </w:numPr>
        <w:spacing w:after="60" w:line="282"/>
      </w:pPr>
      <w:r>
        <w:rPr>
          <w:rFonts w:ascii="Calibri" w:cs="Calibri" w:eastAsia="Calibri" w:hAnsi="Calibri"/>
          <w:b/>
          <w:bCs/>
          <w:sz w:val="22"/>
          <w:szCs w:val="22"/>
        </w:rPr>
        <w:t xml:space="preserve">Column standardisation. </w:t>
      </w:r>
      <w:r>
        <w:rPr>
          <w:rFonts w:ascii="Calibri" w:cs="Calibri" w:eastAsia="Calibri" w:hAnsi="Calibri"/>
          <w:sz w:val="22"/>
          <w:szCs w:val="22"/>
        </w:rPr>
        <w:t xml:space="preserve">All column names are converted to lowercase and mapped to descriptive names using the accompanying data dictionary (e.g., d105b → “Ever_been_slapped_by_husband_partner”), and coded values are decoded to their textual meaning (e.g., 1 → “Urban”).</w:t>
      </w:r>
    </w:p>
    <w:p>
      <w:pPr>
        <w:pStyle w:val="ListParagraph"/>
        <w:numPr>
          <w:ilvl w:val="0"/>
          <w:numId w:val="3"/>
        </w:numPr>
        <w:spacing w:after="60" w:line="282"/>
      </w:pPr>
      <w:r>
        <w:rPr>
          <w:rFonts w:ascii="Calibri" w:cs="Calibri" w:eastAsia="Calibri" w:hAnsi="Calibri"/>
          <w:b/>
          <w:bCs/>
          <w:sz w:val="22"/>
          <w:szCs w:val="22"/>
        </w:rPr>
        <w:t xml:space="preserve">Domain mapping. </w:t>
      </w:r>
      <w:r>
        <w:rPr>
          <w:rFonts w:ascii="Calibri" w:cs="Calibri" w:eastAsia="Calibri" w:hAnsi="Calibri"/>
          <w:sz w:val="22"/>
          <w:szCs w:val="22"/>
        </w:rPr>
        <w:t xml:space="preserve">Continuous education-in-years and occupation codes are mapped to project-relevant categories (for example, 17+ years → Post-Graduate; 15–16 years → Graduate; occupation codes → Professional/IT, Clerical, Sales, Services, Agricultural, Manual).</w:t>
      </w:r>
    </w:p>
    <w:p>
      <w:pPr>
        <w:pStyle w:val="ListParagraph"/>
        <w:numPr>
          <w:ilvl w:val="0"/>
          <w:numId w:val="3"/>
        </w:numPr>
        <w:spacing w:after="60" w:line="282"/>
      </w:pPr>
      <w:r>
        <w:rPr>
          <w:rFonts w:ascii="Calibri" w:cs="Calibri" w:eastAsia="Calibri" w:hAnsi="Calibri"/>
          <w:b/>
          <w:bCs/>
          <w:sz w:val="22"/>
          <w:szCs w:val="22"/>
        </w:rPr>
        <w:t xml:space="preserve">Missing-value handling. </w:t>
      </w:r>
      <w:r>
        <w:rPr>
          <w:rFonts w:ascii="Calibri" w:cs="Calibri" w:eastAsia="Calibri" w:hAnsi="Calibri"/>
          <w:sz w:val="22"/>
          <w:szCs w:val="22"/>
        </w:rPr>
        <w:t xml:space="preserve">Records missing any of the nine target items are dropped, and remaining gaps in the feature matrix are imputed using a simple (most-frequent / constant) imputation strategy before encoding.</w:t>
      </w:r>
    </w:p>
    <w:p>
      <w:pPr>
        <w:pStyle w:val="ListParagraph"/>
        <w:numPr>
          <w:ilvl w:val="0"/>
          <w:numId w:val="3"/>
        </w:numPr>
        <w:spacing w:after="60" w:line="282"/>
      </w:pPr>
      <w:r>
        <w:rPr>
          <w:rFonts w:ascii="Calibri" w:cs="Calibri" w:eastAsia="Calibri" w:hAnsi="Calibri"/>
          <w:b/>
          <w:bCs/>
          <w:sz w:val="22"/>
          <w:szCs w:val="22"/>
        </w:rPr>
        <w:t xml:space="preserve">Encoding. </w:t>
      </w:r>
      <w:r>
        <w:rPr>
          <w:rFonts w:ascii="Calibri" w:cs="Calibri" w:eastAsia="Calibri" w:hAnsi="Calibri"/>
          <w:sz w:val="22"/>
          <w:szCs w:val="22"/>
        </w:rPr>
        <w:t xml:space="preserve">Categorical features are one-hot encoded (with the first level dropped to avoid collinearity); the nine multi-class target items are integer-encoded with label encoders retained for inverse transformation.</w:t>
      </w:r>
    </w:p>
    <w:p>
      <w:pPr>
        <w:spacing w:after="80" w:line="288"/>
        <w:jc w:val="both"/>
      </w:pPr>
      <w:r>
        <w:rPr>
          <w:rFonts w:ascii="Calibri" w:cs="Calibri" w:eastAsia="Calibri" w:hAnsi="Calibri"/>
          <w:sz w:val="22"/>
          <w:szCs w:val="22"/>
        </w:rPr>
        <w:t xml:space="preserve">The decoded, fully readable dataset is persisted to intermediate CSV files so that subsequent feature engineering and modelling stages operate on a stable, human-interpretable representation.</w:t>
      </w:r>
    </w:p>
    <w:p>
      <w:pPr>
        <w:pStyle w:val="Heading1"/>
        <w:pBdr>
          <w:bottom w:val="single" w:color="2E75B6" w:sz="6" w:space="2"/>
        </w:pBdr>
        <w:spacing w:after="160" w:before="300"/>
      </w:pPr>
      <w:r>
        <w:rPr>
          <w:rFonts w:ascii="Calibri" w:cs="Calibri" w:eastAsia="Calibri" w:hAnsi="Calibri"/>
          <w:b/>
          <w:bCs/>
          <w:color w:val="1F4E79"/>
          <w:sz w:val="30"/>
          <w:szCs w:val="30"/>
        </w:rPr>
        <w:t xml:space="preserve">3.5  Feature Engineering</w:t>
      </w:r>
    </w:p>
    <w:p>
      <w:pPr>
        <w:spacing w:after="120" w:line="288"/>
        <w:jc w:val="both"/>
      </w:pPr>
      <w:r>
        <w:rPr>
          <w:rFonts w:ascii="Calibri" w:cs="Calibri" w:eastAsia="Calibri" w:hAnsi="Calibri"/>
          <w:sz w:val="22"/>
          <w:szCs w:val="22"/>
        </w:rPr>
        <w:t xml:space="preserve">Beyond the raw demographic attributes, a set of relational “friction-predictor” features was engineered directly from findings in the attached literature, so that established sociological evidence is encoded explicitly rather than left for the model to rediscover from sparse data.</w:t>
      </w:r>
    </w:p>
    <w:p>
      <w:pPr>
        <w:pStyle w:val="ListParagraph"/>
        <w:numPr>
          <w:ilvl w:val="0"/>
          <w:numId w:val="4"/>
        </w:numPr>
        <w:spacing w:after="60" w:line="282"/>
      </w:pPr>
      <w:r>
        <w:rPr>
          <w:rFonts w:ascii="Calibri" w:cs="Calibri" w:eastAsia="Calibri" w:hAnsi="Calibri"/>
          <w:b/>
          <w:bCs/>
          <w:sz w:val="22"/>
          <w:szCs w:val="22"/>
        </w:rPr>
        <w:t xml:space="preserve">Age gap. </w:t>
      </w:r>
      <w:r>
        <w:rPr>
          <w:rFonts w:ascii="Calibri" w:cs="Calibri" w:eastAsia="Calibri" w:hAnsi="Calibri"/>
          <w:sz w:val="22"/>
          <w:szCs w:val="22"/>
        </w:rPr>
        <w:t xml:space="preserve">The signed difference between husband and wife age (Age_Gap) and a High-Age-Gap flag set when the difference is 7 years or more, following Shita &amp; Zeleke (2024), who identify a 7+ year gap as a significant divorce predictor.</w:t>
      </w:r>
    </w:p>
    <w:p>
      <w:pPr>
        <w:pStyle w:val="ListParagraph"/>
        <w:numPr>
          <w:ilvl w:val="0"/>
          <w:numId w:val="4"/>
        </w:numPr>
        <w:spacing w:after="60" w:line="282"/>
      </w:pPr>
      <w:r>
        <w:rPr>
          <w:rFonts w:ascii="Calibri" w:cs="Calibri" w:eastAsia="Calibri" w:hAnsi="Calibri"/>
          <w:b/>
          <w:bCs/>
          <w:sz w:val="22"/>
          <w:szCs w:val="22"/>
        </w:rPr>
        <w:t xml:space="preserve">Wife-older flag. </w:t>
      </w:r>
      <w:r>
        <w:rPr>
          <w:rFonts w:ascii="Calibri" w:cs="Calibri" w:eastAsia="Calibri" w:hAnsi="Calibri"/>
          <w:sz w:val="22"/>
          <w:szCs w:val="22"/>
        </w:rPr>
        <w:t xml:space="preserve">A binary indicator for marriages in which the wife is older than the husband, motivated by Bennett et al. (1989), who report elevated dissolution risk for such unions.</w:t>
      </w:r>
    </w:p>
    <w:p>
      <w:pPr>
        <w:pStyle w:val="ListParagraph"/>
        <w:numPr>
          <w:ilvl w:val="0"/>
          <w:numId w:val="4"/>
        </w:numPr>
        <w:spacing w:after="60" w:line="282"/>
      </w:pPr>
      <w:r>
        <w:rPr>
          <w:rFonts w:ascii="Calibri" w:cs="Calibri" w:eastAsia="Calibri" w:hAnsi="Calibri"/>
          <w:b/>
          <w:bCs/>
          <w:sz w:val="22"/>
          <w:szCs w:val="22"/>
        </w:rPr>
        <w:t xml:space="preserve">Extreme age gap. </w:t>
      </w:r>
      <w:r>
        <w:rPr>
          <w:rFonts w:ascii="Calibri" w:cs="Calibri" w:eastAsia="Calibri" w:hAnsi="Calibri"/>
          <w:sz w:val="22"/>
          <w:szCs w:val="22"/>
        </w:rPr>
        <w:t xml:space="preserve">A flag for very large age differences, capturing the more severe tail of age heterogamy.</w:t>
      </w:r>
    </w:p>
    <w:p>
      <w:pPr>
        <w:pStyle w:val="ListParagraph"/>
        <w:numPr>
          <w:ilvl w:val="0"/>
          <w:numId w:val="4"/>
        </w:numPr>
        <w:spacing w:after="60" w:line="282"/>
      </w:pPr>
      <w:r>
        <w:rPr>
          <w:rFonts w:ascii="Calibri" w:cs="Calibri" w:eastAsia="Calibri" w:hAnsi="Calibri"/>
          <w:b/>
          <w:bCs/>
          <w:sz w:val="22"/>
          <w:szCs w:val="22"/>
        </w:rPr>
        <w:t xml:space="preserve">Educational heterogamy. </w:t>
      </w:r>
      <w:r>
        <w:rPr>
          <w:rFonts w:ascii="Calibri" w:cs="Calibri" w:eastAsia="Calibri" w:hAnsi="Calibri"/>
          <w:sz w:val="22"/>
          <w:szCs w:val="22"/>
        </w:rPr>
        <w:t xml:space="preserve">Comparison features indicating whether spouses share, or differ in, educational milestones, drawing on Ackerson et al. (2008) and Bennett et al. (1989) regarding education differentials and marital outcomes.</w:t>
      </w:r>
    </w:p>
    <w:p>
      <w:pPr>
        <w:spacing w:after="120" w:line="288"/>
        <w:jc w:val="both"/>
      </w:pPr>
      <w:r>
        <w:rPr>
          <w:rFonts w:ascii="Calibri" w:cs="Calibri" w:eastAsia="Calibri" w:hAnsi="Calibri"/>
          <w:sz w:val="22"/>
          <w:szCs w:val="22"/>
        </w:rPr>
        <w:t xml:space="preserve">A feature-importance analysis on the demographic model confirmed the salience of the structured attributes, with the religion of both partners, the occupation of both partners, and education emerging as the strongest non-geographic predictors. The leading factors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Feature</w:t>
            </w:r>
          </w:p>
        </w:tc>
        <w:tc>
          <w:tcPr>
            <w:tcW w:type="dxa" w:w="4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Relative Importance (%)</w:t>
            </w:r>
          </w:p>
        </w:tc>
      </w:tr>
      <w:tr>
        <w:tc>
          <w:tcPr>
            <w:tcW w:type="dxa" w:w="5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Wife’s religion</w:t>
            </w:r>
          </w:p>
        </w:tc>
        <w:tc>
          <w:tcPr>
            <w:tcW w:type="dxa" w:w="4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20.3</w:t>
            </w:r>
          </w:p>
        </w:tc>
      </w:tr>
      <w:tr>
        <w:tc>
          <w:tcPr>
            <w:tcW w:type="dxa" w:w="53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Husband’s religion</w:t>
            </w:r>
          </w:p>
        </w:tc>
        <w:tc>
          <w:tcPr>
            <w:tcW w:type="dxa" w:w="40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15.5</w:t>
            </w:r>
          </w:p>
        </w:tc>
      </w:tr>
      <w:tr>
        <w:tc>
          <w:tcPr>
            <w:tcW w:type="dxa" w:w="5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Wife’s occupation (grouped)</w:t>
            </w:r>
          </w:p>
        </w:tc>
        <w:tc>
          <w:tcPr>
            <w:tcW w:type="dxa" w:w="4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14.7</w:t>
            </w:r>
          </w:p>
        </w:tc>
      </w:tr>
      <w:tr>
        <w:tc>
          <w:tcPr>
            <w:tcW w:type="dxa" w:w="53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Husband’s occupation (grouped)</w:t>
            </w:r>
          </w:p>
        </w:tc>
        <w:tc>
          <w:tcPr>
            <w:tcW w:type="dxa" w:w="40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14.4</w:t>
            </w:r>
          </w:p>
        </w:tc>
      </w:tr>
      <w:tr>
        <w:tc>
          <w:tcPr>
            <w:tcW w:type="dxa" w:w="5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Husband’s education level</w:t>
            </w:r>
          </w:p>
        </w:tc>
        <w:tc>
          <w:tcPr>
            <w:tcW w:type="dxa" w:w="4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7.9</w:t>
            </w:r>
          </w:p>
        </w:tc>
      </w:tr>
      <w:tr>
        <w:tc>
          <w:tcPr>
            <w:tcW w:type="dxa" w:w="53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Wife’s education level</w:t>
            </w:r>
          </w:p>
        </w:tc>
        <w:tc>
          <w:tcPr>
            <w:tcW w:type="dxa" w:w="40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7.4</w:t>
            </w:r>
          </w:p>
        </w:tc>
      </w:tr>
      <w:tr>
        <w:tc>
          <w:tcPr>
            <w:tcW w:type="dxa" w:w="5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Ethnicity (both partners)</w:t>
            </w:r>
          </w:p>
        </w:tc>
        <w:tc>
          <w:tcPr>
            <w:tcW w:type="dxa" w:w="4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12.2 (combined)</w:t>
            </w:r>
          </w:p>
        </w:tc>
      </w:tr>
      <w:tr>
        <w:tc>
          <w:tcPr>
            <w:tcW w:type="dxa" w:w="53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Residence, age and height</w:t>
            </w:r>
          </w:p>
        </w:tc>
        <w:tc>
          <w:tcPr>
            <w:tcW w:type="dxa" w:w="40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 7.7 (combined)</w:t>
            </w:r>
          </w:p>
        </w:tc>
      </w:tr>
    </w:tbl>
    <w:p>
      <w:pPr>
        <w:spacing w:after="160" w:before="60"/>
        <w:jc w:val="left"/>
      </w:pPr>
      <w:r>
        <w:rPr>
          <w:rFonts w:ascii="Calibri" w:cs="Calibri" w:eastAsia="Calibri" w:hAnsi="Calibri"/>
          <w:i/>
          <w:iCs/>
          <w:color w:val="666666"/>
          <w:sz w:val="19"/>
          <w:szCs w:val="19"/>
        </w:rPr>
        <w:t xml:space="preserve">Table 3.2  Relative importance of demographic predictors (excluding state-level dummies).</w:t>
      </w:r>
    </w:p>
    <w:p>
      <w:r>
        <w:br w:type="page"/>
      </w:r>
    </w:p>
    <w:p>
      <w:pPr>
        <w:pStyle w:val="Heading1"/>
        <w:pBdr>
          <w:bottom w:val="single" w:color="2E75B6" w:sz="6" w:space="2"/>
        </w:pBdr>
        <w:spacing w:after="160" w:before="300"/>
      </w:pPr>
      <w:r>
        <w:rPr>
          <w:rFonts w:ascii="Calibri" w:cs="Calibri" w:eastAsia="Calibri" w:hAnsi="Calibri"/>
          <w:b/>
          <w:bCs/>
          <w:color w:val="1F4E79"/>
          <w:sz w:val="30"/>
          <w:szCs w:val="30"/>
        </w:rPr>
        <w:t xml:space="preserve">3.6  Target Variable Construction</w:t>
      </w:r>
    </w:p>
    <w:p>
      <w:pPr>
        <w:spacing w:after="120" w:line="288"/>
        <w:jc w:val="both"/>
      </w:pPr>
      <w:r>
        <w:rPr>
          <w:rFonts w:ascii="Calibri" w:cs="Calibri" w:eastAsia="Calibri" w:hAnsi="Calibri"/>
          <w:sz w:val="22"/>
          <w:szCs w:val="22"/>
        </w:rPr>
        <w:t xml:space="preserve">Defining a reliable label for “marital stability” from survey data was a central methodological challenge, and the approach evolved through three stages.</w:t>
      </w:r>
    </w:p>
    <w:p>
      <w:pPr>
        <w:spacing w:after="70" w:before="160"/>
      </w:pPr>
      <w:r>
        <w:rPr>
          <w:rFonts w:ascii="Calibri" w:cs="Calibri" w:eastAsia="Calibri" w:hAnsi="Calibri"/>
          <w:b/>
          <w:bCs/>
          <w:color w:val="333333"/>
          <w:sz w:val="22"/>
          <w:szCs w:val="22"/>
        </w:rPr>
        <w:t xml:space="preserve">3.6.1  Six Compatibility Dimensions</w:t>
      </w:r>
    </w:p>
    <w:p>
      <w:pPr>
        <w:spacing w:after="120" w:line="288"/>
        <w:jc w:val="both"/>
      </w:pPr>
      <w:r>
        <w:rPr>
          <w:rFonts w:ascii="Calibri" w:cs="Calibri" w:eastAsia="Calibri" w:hAnsi="Calibri"/>
          <w:sz w:val="22"/>
          <w:szCs w:val="22"/>
        </w:rPr>
        <w:t xml:space="preserve">Following the framework of the Predicting Marital Stability literature, the nine relationship-quality questions were grouped into six interpretable dimensions and mapped onto a 0–4 risk scale, where 0 denotes ideal compatibility and 4 denotes high incompatibility or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Dimension</w:t>
            </w:r>
          </w:p>
        </w:tc>
        <w:tc>
          <w:tcPr>
            <w:tcW w:type="dxa" w:w="32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Source Question(s)</w:t>
            </w:r>
          </w:p>
        </w:tc>
        <w:tc>
          <w:tcPr>
            <w:tcW w:type="dxa" w:w="4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Scoring Logic (0 = safe → 4 = high risk)</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Roles</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Decision on wife’s health care</w:t>
            </w:r>
          </w:p>
        </w:tc>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Joint → 0; Wife alone → 1; Husband alone / someone else → 4</w:t>
            </w:r>
          </w:p>
        </w:tc>
      </w:tr>
      <w:tr>
        <w:tc>
          <w:tcPr>
            <w:tcW w:type="dxa" w:w="17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Goals</w:t>
            </w:r>
          </w:p>
        </w:tc>
        <w:tc>
          <w:tcPr>
            <w:tcW w:type="dxa" w:w="32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Decision on large household purchases</w:t>
            </w:r>
          </w:p>
        </w:tc>
        <w:tc>
          <w:tcPr>
            <w:tcW w:type="dxa" w:w="44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Joint → 0; Wife alone → 1; Husband alone → 4</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Trust</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Jealousy; insists on knowing whereabouts</w:t>
            </w:r>
          </w:p>
        </w:tc>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No → 0; Don’t know → 2; Yes → 4</w:t>
            </w:r>
          </w:p>
        </w:tc>
      </w:tr>
      <w:tr>
        <w:tc>
          <w:tcPr>
            <w:tcW w:type="dxa" w:w="17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Boundaries</w:t>
            </w:r>
          </w:p>
        </w:tc>
        <w:tc>
          <w:tcPr>
            <w:tcW w:type="dxa" w:w="32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Pushed/shook; slapped</w:t>
            </w:r>
          </w:p>
        </w:tc>
        <w:tc>
          <w:tcPr>
            <w:tcW w:type="dxa" w:w="44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Never → 0; Past → 2; Sometimes → 3; Often → 4</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Fear</w:t>
            </w:r>
          </w:p>
        </w:tc>
        <w:tc>
          <w:tcPr>
            <w:tcW w:type="dxa" w:w="3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Afraid of husband</w:t>
            </w:r>
          </w:p>
        </w:tc>
        <w:tc>
          <w:tcPr>
            <w:tcW w:type="dxa" w:w="4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Never → 0; Sometimes → 2; Most of the time → 4</w:t>
            </w:r>
          </w:p>
        </w:tc>
      </w:tr>
      <w:tr>
        <w:tc>
          <w:tcPr>
            <w:tcW w:type="dxa" w:w="17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Emotional support</w:t>
            </w:r>
          </w:p>
        </w:tc>
        <w:tc>
          <w:tcPr>
            <w:tcW w:type="dxa" w:w="32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Humiliated; insulted</w:t>
            </w:r>
          </w:p>
        </w:tc>
        <w:tc>
          <w:tcPr>
            <w:tcW w:type="dxa" w:w="44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Never → 0; Past → 2; Sometimes → 3; Often → 4</w:t>
            </w:r>
          </w:p>
        </w:tc>
      </w:tr>
    </w:tbl>
    <w:p>
      <w:pPr>
        <w:spacing w:after="160" w:before="60"/>
        <w:jc w:val="left"/>
      </w:pPr>
      <w:r>
        <w:rPr>
          <w:rFonts w:ascii="Calibri" w:cs="Calibri" w:eastAsia="Calibri" w:hAnsi="Calibri"/>
          <w:i/>
          <w:iCs/>
          <w:color w:val="666666"/>
          <w:sz w:val="19"/>
          <w:szCs w:val="19"/>
        </w:rPr>
        <w:t xml:space="preserve">Table 3.3  Mapping of survey items to six compatibility dimensions on a 0–4 risk scale.</w:t>
      </w:r>
    </w:p>
    <w:p>
      <w:pPr>
        <w:spacing w:after="70" w:before="160"/>
      </w:pPr>
      <w:r>
        <w:rPr>
          <w:rFonts w:ascii="Calibri" w:cs="Calibri" w:eastAsia="Calibri" w:hAnsi="Calibri"/>
          <w:b/>
          <w:bCs/>
          <w:color w:val="333333"/>
          <w:sz w:val="22"/>
          <w:szCs w:val="22"/>
        </w:rPr>
        <w:t xml:space="preserve">3.6.2  Unsupervised Clustering and Its Limitation</w:t>
      </w:r>
    </w:p>
    <w:p>
      <w:pPr>
        <w:spacing w:after="120" w:line="288"/>
        <w:jc w:val="both"/>
      </w:pPr>
      <w:r>
        <w:rPr>
          <w:rFonts w:ascii="Calibri" w:cs="Calibri" w:eastAsia="Calibri" w:hAnsi="Calibri"/>
          <w:sz w:val="22"/>
          <w:szCs w:val="22"/>
        </w:rPr>
        <w:t xml:space="preserve">An initial, data-driven target was created by applying K-Means clustering to the nine encoded survey items, grouping couples into a “stable” and an “unstable” cluster. Cluster profiling confirmed that the clusters separated meaningfully along the critical questions. However, because the dataset is heavily imbalanced (roughly 77% of couples fall in the low-risk class), models trained against the clustered target tended to ignore the minority high-risk class — achieving high nominal accuracy while failing to detect precisely the cases the system most needs to flag.</w:t>
      </w:r>
    </w:p>
    <w:p>
      <w:pPr>
        <w:spacing w:after="70" w:before="160"/>
      </w:pPr>
      <w:r>
        <w:rPr>
          <w:rFonts w:ascii="Calibri" w:cs="Calibri" w:eastAsia="Calibri" w:hAnsi="Calibri"/>
          <w:b/>
          <w:bCs/>
          <w:color w:val="333333"/>
          <w:sz w:val="22"/>
          <w:szCs w:val="22"/>
        </w:rPr>
        <w:t xml:space="preserve">3.6.3  Deterministic Red-Flag Target</w:t>
      </w:r>
    </w:p>
    <w:p>
      <w:pPr>
        <w:spacing w:after="120" w:line="288"/>
        <w:jc w:val="both"/>
      </w:pPr>
      <w:r>
        <w:rPr>
          <w:rFonts w:ascii="Calibri" w:cs="Calibri" w:eastAsia="Calibri" w:hAnsi="Calibri"/>
          <w:sz w:val="22"/>
          <w:szCs w:val="22"/>
        </w:rPr>
        <w:t xml:space="preserve">To guarantee that the label reflected genuine marital danger, the methodology was pivoted to a deterministic, rule-based composite target. Drawing on the sociological severity of the survey items, a strict operational definition was adopted: a marriage is labelled high-risk if the respondent reports any designated red-flag answer (for example, “Yes” to controlling behaviour, “Often” or “Sometimes” for violence, “Most of the time afraid”, or “Husband alone” for key decisions). This deterministic target is transparent, reproducible, and aligned with the safety objective of the system, and it became the primary label for the final models.</w:t>
      </w:r>
    </w:p>
    <w:p>
      <w:pPr>
        <w:pStyle w:val="Heading1"/>
        <w:pBdr>
          <w:bottom w:val="single" w:color="2E75B6" w:sz="6" w:space="2"/>
        </w:pBdr>
        <w:spacing w:after="160" w:before="300"/>
      </w:pPr>
      <w:r>
        <w:rPr>
          <w:rFonts w:ascii="Calibri" w:cs="Calibri" w:eastAsia="Calibri" w:hAnsi="Calibri"/>
          <w:b/>
          <w:bCs/>
          <w:color w:val="1F4E79"/>
          <w:sz w:val="30"/>
          <w:szCs w:val="30"/>
        </w:rPr>
        <w:t xml:space="preserve">3.7  Layer 1: Rule-Based Mutual-Preference Matching</w:t>
      </w:r>
    </w:p>
    <w:p>
      <w:pPr>
        <w:spacing w:after="120" w:line="288"/>
        <w:jc w:val="both"/>
      </w:pPr>
      <w:r>
        <w:rPr>
          <w:rFonts w:ascii="Calibri" w:cs="Calibri" w:eastAsia="Calibri" w:hAnsi="Calibri"/>
          <w:sz w:val="22"/>
          <w:szCs w:val="22"/>
        </w:rPr>
        <w:t xml:space="preserve">The first layer, termed flat matching, acts as a transparent first-level filter. It uses two groups of attributes drawn from each user: profile attributes (the user’s own characteristics) and preference attributes (the conditions expected of a partner), across six core features — age, religion, caste, education, profession, and residence. The process executes in sequence:</w:t>
      </w:r>
    </w:p>
    <w:p>
      <w:pPr>
        <w:pStyle w:val="ListParagraph"/>
        <w:numPr>
          <w:ilvl w:val="0"/>
          <w:numId w:val="5"/>
        </w:numPr>
        <w:spacing w:after="60" w:line="282"/>
      </w:pPr>
      <w:r>
        <w:rPr>
          <w:rFonts w:ascii="Calibri" w:cs="Calibri" w:eastAsia="Calibri" w:hAnsi="Calibri"/>
          <w:b/>
          <w:bCs/>
          <w:sz w:val="22"/>
          <w:szCs w:val="22"/>
        </w:rPr>
        <w:t xml:space="preserve">Data retrieval. </w:t>
      </w:r>
      <w:r>
        <w:rPr>
          <w:rFonts w:ascii="Calibri" w:cs="Calibri" w:eastAsia="Calibri" w:hAnsi="Calibri"/>
          <w:sz w:val="22"/>
          <w:szCs w:val="22"/>
        </w:rPr>
        <w:t xml:space="preserve">The seeker’s profile, preferences and priority settings are loaded, opposite-gender candidates are retrieved, and an activity filter retains only candidates active within the last 15 days.</w:t>
      </w:r>
    </w:p>
    <w:p>
      <w:pPr>
        <w:pStyle w:val="ListParagraph"/>
        <w:numPr>
          <w:ilvl w:val="0"/>
          <w:numId w:val="5"/>
        </w:numPr>
        <w:spacing w:after="60" w:line="282"/>
      </w:pPr>
      <w:r>
        <w:rPr>
          <w:rFonts w:ascii="Calibri" w:cs="Calibri" w:eastAsia="Calibri" w:hAnsi="Calibri"/>
          <w:b/>
          <w:bCs/>
          <w:sz w:val="22"/>
          <w:szCs w:val="22"/>
        </w:rPr>
        <w:t xml:space="preserve">Mutual minimum check. </w:t>
      </w:r>
      <w:r>
        <w:rPr>
          <w:rFonts w:ascii="Calibri" w:cs="Calibri" w:eastAsia="Calibri" w:hAnsi="Calibri"/>
          <w:sz w:val="22"/>
          <w:szCs w:val="22"/>
        </w:rPr>
        <w:t xml:space="preserve">Each candidate must satisfy at least two key preference attributes in both directions; candidates failing this minimum are excluded immediately.</w:t>
      </w:r>
    </w:p>
    <w:p>
      <w:pPr>
        <w:pStyle w:val="ListParagraph"/>
        <w:numPr>
          <w:ilvl w:val="0"/>
          <w:numId w:val="5"/>
        </w:numPr>
        <w:spacing w:after="60" w:line="282"/>
      </w:pPr>
      <w:r>
        <w:rPr>
          <w:rFonts w:ascii="Calibri" w:cs="Calibri" w:eastAsia="Calibri" w:hAnsi="Calibri"/>
          <w:b/>
          <w:bCs/>
          <w:sz w:val="22"/>
          <w:szCs w:val="22"/>
        </w:rPr>
        <w:t xml:space="preserve">Feature-based evaluation. </w:t>
      </w:r>
      <w:r>
        <w:rPr>
          <w:rFonts w:ascii="Calibri" w:cs="Calibri" w:eastAsia="Calibri" w:hAnsi="Calibri"/>
          <w:sz w:val="22"/>
          <w:szCs w:val="22"/>
        </w:rPr>
        <w:t xml:space="preserve">Surviving candidates are evaluated across the six core features; the number of matching features forms the base compatibility measure.</w:t>
      </w:r>
    </w:p>
    <w:p>
      <w:pPr>
        <w:pStyle w:val="ListParagraph"/>
        <w:numPr>
          <w:ilvl w:val="0"/>
          <w:numId w:val="5"/>
        </w:numPr>
        <w:spacing w:after="60" w:line="282"/>
      </w:pPr>
      <w:r>
        <w:rPr>
          <w:rFonts w:ascii="Calibri" w:cs="Calibri" w:eastAsia="Calibri" w:hAnsi="Calibri"/>
          <w:b/>
          <w:bCs/>
          <w:sz w:val="22"/>
          <w:szCs w:val="22"/>
        </w:rPr>
        <w:t xml:space="preserve">Scoring-model selection. </w:t>
      </w:r>
      <w:r>
        <w:rPr>
          <w:rFonts w:ascii="Calibri" w:cs="Calibri" w:eastAsia="Calibri" w:hAnsi="Calibri"/>
          <w:sz w:val="22"/>
          <w:szCs w:val="22"/>
        </w:rPr>
        <w:t xml:space="preserve">If the seeker has assigned priority weights, a weighted scoring method is used; otherwise a flat scoring method converts the match count into a percentage in each direction.</w:t>
      </w:r>
    </w:p>
    <w:p>
      <w:pPr>
        <w:pStyle w:val="ListParagraph"/>
        <w:numPr>
          <w:ilvl w:val="0"/>
          <w:numId w:val="5"/>
        </w:numPr>
        <w:spacing w:after="60" w:line="282"/>
      </w:pPr>
      <w:r>
        <w:rPr>
          <w:rFonts w:ascii="Calibri" w:cs="Calibri" w:eastAsia="Calibri" w:hAnsi="Calibri"/>
          <w:b/>
          <w:bCs/>
          <w:sz w:val="22"/>
          <w:szCs w:val="22"/>
        </w:rPr>
        <w:t xml:space="preserve">Mutual compatibility. </w:t>
      </w:r>
      <w:r>
        <w:rPr>
          <w:rFonts w:ascii="Calibri" w:cs="Calibri" w:eastAsia="Calibri" w:hAnsi="Calibri"/>
          <w:sz w:val="22"/>
          <w:szCs w:val="22"/>
        </w:rPr>
        <w:t xml:space="preserve">The final score is the average of the seeker-to-candidate and candidate-to-seeker percentages, ensuring the result reflects mutual suitability.</w:t>
      </w:r>
    </w:p>
    <w:p>
      <w:pPr>
        <w:pStyle w:val="ListParagraph"/>
        <w:numPr>
          <w:ilvl w:val="0"/>
          <w:numId w:val="5"/>
        </w:numPr>
        <w:spacing w:after="60" w:line="282"/>
      </w:pPr>
      <w:r>
        <w:rPr>
          <w:rFonts w:ascii="Calibri" w:cs="Calibri" w:eastAsia="Calibri" w:hAnsi="Calibri"/>
          <w:b/>
          <w:bCs/>
          <w:sz w:val="22"/>
          <w:szCs w:val="22"/>
        </w:rPr>
        <w:t xml:space="preserve">Ranking. </w:t>
      </w:r>
      <w:r>
        <w:rPr>
          <w:rFonts w:ascii="Calibri" w:cs="Calibri" w:eastAsia="Calibri" w:hAnsi="Calibri"/>
          <w:sz w:val="22"/>
          <w:szCs w:val="22"/>
        </w:rPr>
        <w:t xml:space="preserve">Valid candidates are ranked in descending order of mutual percentage and the match lists of both parties are updated reciprocally.</w:t>
      </w:r>
    </w:p>
    <w:p>
      <w:pPr>
        <w:spacing w:after="40" w:line="288"/>
        <w:jc w:val="both"/>
      </w:pPr>
      <w:r>
        <w:rPr>
          <w:rFonts w:ascii="Calibri" w:cs="Calibri" w:eastAsia="Calibri" w:hAnsi="Calibri"/>
          <w:sz w:val="22"/>
          <w:szCs w:val="22"/>
        </w:rPr>
        <w:t xml:space="preserve">Formally, if S→C denotes the percentage of the seeker’s preferences satisfied by the candidate and C→S the converse, the mutual compatibility score is:</w:t>
      </w:r>
    </w:p>
    <w:p>
      <w:pPr>
        <w:spacing w:after="120" w:before="60"/>
        <w:jc w:val="center"/>
      </w:pPr>
      <w:r>
        <w:rPr>
          <w:rFonts w:ascii="Cambria Math" w:cs="Cambria Math" w:eastAsia="Cambria Math" w:hAnsi="Cambria Math"/>
          <w:i/>
          <w:iCs/>
          <w:sz w:val="22"/>
          <w:szCs w:val="22"/>
        </w:rPr>
        <w:t xml:space="preserve">Mutual Score = ( S→C  +  C→S ) / 2</w:t>
      </w:r>
    </w:p>
    <w:p>
      <w:pPr>
        <w:spacing w:after="40" w:line="288"/>
        <w:jc w:val="both"/>
      </w:pPr>
      <w:r>
        <w:rPr>
          <w:rFonts w:ascii="Calibri" w:cs="Calibri" w:eastAsia="Calibri" w:hAnsi="Calibri"/>
          <w:sz w:val="22"/>
          <w:szCs w:val="22"/>
        </w:rPr>
        <w:t xml:space="preserve">Under weighted scoring, each feature f contributes its priority weight w₆ when matched, so that the directional score becomes the weighted proportion of satisfied preferences:</w:t>
      </w:r>
    </w:p>
    <w:p>
      <w:pPr>
        <w:spacing w:after="120" w:before="60"/>
        <w:jc w:val="center"/>
      </w:pPr>
      <w:r>
        <w:rPr>
          <w:rFonts w:ascii="Cambria Math" w:cs="Cambria Math" w:eastAsia="Cambria Math" w:hAnsi="Cambria Math"/>
          <w:i/>
          <w:iCs/>
          <w:sz w:val="22"/>
          <w:szCs w:val="22"/>
        </w:rPr>
        <w:t xml:space="preserve">Directional Score = ( Σ w₆ · match₆ )  /  ( Σ w₆ )  × 100</w:t>
      </w:r>
    </w:p>
    <w:p>
      <w:pPr>
        <w:spacing w:after="80" w:line="288"/>
        <w:jc w:val="both"/>
      </w:pPr>
      <w:r>
        <w:rPr>
          <w:rFonts w:ascii="Calibri" w:cs="Calibri" w:eastAsia="Calibri" w:hAnsi="Calibri"/>
          <w:sz w:val="22"/>
          <w:szCs w:val="22"/>
        </w:rPr>
        <w:t xml:space="preserve">Because the entire layer is rule-driven, every recommendation it produces can be explained to the user in terms of which features matched and how the percentages were computed.</w:t>
      </w:r>
    </w:p>
    <w:p>
      <w:r>
        <w:br w:type="page"/>
      </w:r>
    </w:p>
    <w:p>
      <w:pPr>
        <w:pStyle w:val="Heading1"/>
        <w:pBdr>
          <w:bottom w:val="single" w:color="2E75B6" w:sz="6" w:space="2"/>
        </w:pBdr>
        <w:spacing w:after="160" w:before="300"/>
      </w:pPr>
      <w:r>
        <w:rPr>
          <w:rFonts w:ascii="Calibri" w:cs="Calibri" w:eastAsia="Calibri" w:hAnsi="Calibri"/>
          <w:b/>
          <w:bCs/>
          <w:color w:val="1F4E79"/>
          <w:sz w:val="30"/>
          <w:szCs w:val="30"/>
        </w:rPr>
        <w:t xml:space="preserve">3.8  Layer 2: Machine-Learning Compatibility Layer</w:t>
      </w:r>
    </w:p>
    <w:p>
      <w:pPr>
        <w:spacing w:after="120" w:line="288"/>
        <w:jc w:val="both"/>
      </w:pPr>
      <w:r>
        <w:rPr>
          <w:rFonts w:ascii="Calibri" w:cs="Calibri" w:eastAsia="Calibri" w:hAnsi="Calibri"/>
          <w:sz w:val="22"/>
          <w:szCs w:val="22"/>
        </w:rPr>
        <w:t xml:space="preserve">Profiles that pass Layer 1 are forwarded to the machine-learning layer, which estimates a probability of a stable, satisfactory outcome for each pair. The layer is designed in five conceptual stages:</w:t>
      </w:r>
    </w:p>
    <w:p>
      <w:pPr>
        <w:pStyle w:val="ListParagraph"/>
        <w:numPr>
          <w:ilvl w:val="0"/>
          <w:numId w:val="6"/>
        </w:numPr>
        <w:spacing w:after="60" w:line="282"/>
      </w:pPr>
      <w:r>
        <w:rPr>
          <w:rFonts w:ascii="Calibri" w:cs="Calibri" w:eastAsia="Calibri" w:hAnsi="Calibri"/>
          <w:b/>
          <w:bCs/>
          <w:sz w:val="22"/>
          <w:szCs w:val="22"/>
        </w:rPr>
        <w:t xml:space="preserve">Profile encoding. </w:t>
      </w:r>
      <w:r>
        <w:rPr>
          <w:rFonts w:ascii="Calibri" w:cs="Calibri" w:eastAsia="Calibri" w:hAnsi="Calibri"/>
          <w:sz w:val="22"/>
          <w:szCs w:val="22"/>
        </w:rPr>
        <w:t xml:space="preserve">Static categorical attributes (religion, education, income, occupation, etc.) are converted into numerical feature vectors, giving each user a clean explicit representation.</w:t>
      </w:r>
    </w:p>
    <w:p>
      <w:pPr>
        <w:pStyle w:val="ListParagraph"/>
        <w:numPr>
          <w:ilvl w:val="0"/>
          <w:numId w:val="6"/>
        </w:numPr>
        <w:spacing w:after="60" w:line="282"/>
      </w:pPr>
      <w:r>
        <w:rPr>
          <w:rFonts w:ascii="Calibri" w:cs="Calibri" w:eastAsia="Calibri" w:hAnsi="Calibri"/>
          <w:b/>
          <w:bCs/>
          <w:sz w:val="22"/>
          <w:szCs w:val="22"/>
        </w:rPr>
        <w:t xml:space="preserve">Relational graph. </w:t>
      </w:r>
      <w:r>
        <w:rPr>
          <w:rFonts w:ascii="Calibri" w:cs="Calibri" w:eastAsia="Calibri" w:hAnsi="Calibri"/>
          <w:sz w:val="22"/>
          <w:szCs w:val="22"/>
        </w:rPr>
        <w:t xml:space="preserve">A graph is constructed over historical users, with users as nodes and edges representing interactions (who viewed or messaged whom) and the recorded outcome (satisfaction / stability) of past pairings.</w:t>
      </w:r>
    </w:p>
    <w:p>
      <w:pPr>
        <w:pStyle w:val="ListParagraph"/>
        <w:numPr>
          <w:ilvl w:val="0"/>
          <w:numId w:val="6"/>
        </w:numPr>
        <w:spacing w:after="60" w:line="282"/>
      </w:pPr>
      <w:r>
        <w:rPr>
          <w:rFonts w:ascii="Calibri" w:cs="Calibri" w:eastAsia="Calibri" w:hAnsi="Calibri"/>
          <w:b/>
          <w:bCs/>
          <w:sz w:val="22"/>
          <w:szCs w:val="22"/>
        </w:rPr>
        <w:t xml:space="preserve">Embedding generation. </w:t>
      </w:r>
      <w:r>
        <w:rPr>
          <w:rFonts w:ascii="Calibri" w:cs="Calibri" w:eastAsia="Calibri" w:hAnsi="Calibri"/>
          <w:sz w:val="22"/>
          <w:szCs w:val="22"/>
        </w:rPr>
        <w:t xml:space="preserve">A Graph Neural Network performs message passing over the network to produce a dense embedding for each user, summarising latent behavioural preferences and interaction patterns that static attributes alone cannot capture.</w:t>
      </w:r>
    </w:p>
    <w:p>
      <w:pPr>
        <w:pStyle w:val="ListParagraph"/>
        <w:numPr>
          <w:ilvl w:val="0"/>
          <w:numId w:val="6"/>
        </w:numPr>
        <w:spacing w:after="60" w:line="282"/>
      </w:pPr>
      <w:r>
        <w:rPr>
          <w:rFonts w:ascii="Calibri" w:cs="Calibri" w:eastAsia="Calibri" w:hAnsi="Calibri"/>
          <w:b/>
          <w:bCs/>
          <w:sz w:val="22"/>
          <w:szCs w:val="22"/>
        </w:rPr>
        <w:t xml:space="preserve">Pair construction. </w:t>
      </w:r>
      <w:r>
        <w:rPr>
          <w:rFonts w:ascii="Calibri" w:cs="Calibri" w:eastAsia="Calibri" w:hAnsi="Calibri"/>
          <w:sz w:val="22"/>
          <w:szCs w:val="22"/>
        </w:rPr>
        <w:t xml:space="preserve">For a candidate pair (A, B), the two users’ embeddings are concatenated with their compared explicit profile features (for example, whether caste or religion matches) to form a single combined input vector.</w:t>
      </w:r>
    </w:p>
    <w:p>
      <w:pPr>
        <w:pStyle w:val="ListParagraph"/>
        <w:numPr>
          <w:ilvl w:val="0"/>
          <w:numId w:val="6"/>
        </w:numPr>
        <w:spacing w:after="60" w:line="282"/>
      </w:pPr>
      <w:r>
        <w:rPr>
          <w:rFonts w:ascii="Calibri" w:cs="Calibri" w:eastAsia="Calibri" w:hAnsi="Calibri"/>
          <w:b/>
          <w:bCs/>
          <w:sz w:val="22"/>
          <w:szCs w:val="22"/>
        </w:rPr>
        <w:t xml:space="preserve">Final prediction. </w:t>
      </w:r>
      <w:r>
        <w:rPr>
          <w:rFonts w:ascii="Calibri" w:cs="Calibri" w:eastAsia="Calibri" w:hAnsi="Calibri"/>
          <w:sz w:val="22"/>
          <w:szCs w:val="22"/>
        </w:rPr>
        <w:t xml:space="preserve">A gradient-boosted classifier (XGBoost) maps the combined vector to the probability of a high-compatibility outcome, yielding the learned compatibility score.</w:t>
      </w:r>
    </w:p>
    <w:p>
      <w:pPr>
        <w:spacing w:after="80" w:line="288"/>
        <w:jc w:val="both"/>
      </w:pPr>
      <w:r>
        <w:rPr>
          <w:rFonts w:ascii="Calibri" w:cs="Calibri" w:eastAsia="Calibri" w:hAnsi="Calibri"/>
          <w:sz w:val="22"/>
          <w:szCs w:val="22"/>
        </w:rPr>
        <w:t xml:space="preserve">In the demographic experiments that approximate this layer, each pair is represented by the encoded attributes of both partners together with the engineered heterogamy features, and the classifier predicts the deterministic stability label. The output probability is then available for fusion with the Layer 1 score.</w:t>
      </w:r>
    </w:p>
    <w:p>
      <w:pPr>
        <w:pStyle w:val="Heading1"/>
        <w:pBdr>
          <w:bottom w:val="single" w:color="2E75B6" w:sz="6" w:space="2"/>
        </w:pBdr>
        <w:spacing w:after="160" w:before="300"/>
      </w:pPr>
      <w:r>
        <w:rPr>
          <w:rFonts w:ascii="Calibri" w:cs="Calibri" w:eastAsia="Calibri" w:hAnsi="Calibri"/>
          <w:b/>
          <w:bCs/>
          <w:color w:val="1F4E79"/>
          <w:sz w:val="30"/>
          <w:szCs w:val="30"/>
        </w:rPr>
        <w:t xml:space="preserve">3.9  Model Development and Experimental Strategies</w:t>
      </w:r>
    </w:p>
    <w:p>
      <w:pPr>
        <w:spacing w:after="120" w:line="288"/>
        <w:jc w:val="both"/>
      </w:pPr>
      <w:r>
        <w:rPr>
          <w:rFonts w:ascii="Calibri" w:cs="Calibri" w:eastAsia="Calibri" w:hAnsi="Calibri"/>
          <w:sz w:val="22"/>
          <w:szCs w:val="22"/>
        </w:rPr>
        <w:t xml:space="preserve">Several modelling strategies were developed and compared, both to identify the most effective approach and to document the methodological reasoning behind the final design.</w:t>
      </w:r>
    </w:p>
    <w:p>
      <w:pPr>
        <w:pStyle w:val="ListParagraph"/>
        <w:numPr>
          <w:ilvl w:val="0"/>
          <w:numId w:val="4"/>
        </w:numPr>
        <w:spacing w:after="60" w:line="282"/>
      </w:pPr>
      <w:r>
        <w:rPr>
          <w:rFonts w:ascii="Calibri" w:cs="Calibri" w:eastAsia="Calibri" w:hAnsi="Calibri"/>
          <w:b/>
          <w:bCs/>
          <w:sz w:val="22"/>
          <w:szCs w:val="22"/>
        </w:rPr>
        <w:t xml:space="preserve">Multi-output XGBoost. </w:t>
      </w:r>
      <w:r>
        <w:rPr>
          <w:rFonts w:ascii="Calibri" w:cs="Calibri" w:eastAsia="Calibri" w:hAnsi="Calibri"/>
          <w:sz w:val="22"/>
          <w:szCs w:val="22"/>
        </w:rPr>
        <w:t xml:space="preserve">Since collapsing the nine questions into a single label gave poor recall, a multi-output variant was trained to predict all nine items independently, treating them as uncorrelated. This achieved an average per-question test accuracy of approximately 79.8%.</w:t>
      </w:r>
    </w:p>
    <w:p>
      <w:pPr>
        <w:pStyle w:val="ListParagraph"/>
        <w:numPr>
          <w:ilvl w:val="0"/>
          <w:numId w:val="4"/>
        </w:numPr>
        <w:spacing w:after="60" w:line="282"/>
      </w:pPr>
      <w:r>
        <w:rPr>
          <w:rFonts w:ascii="Calibri" w:cs="Calibri" w:eastAsia="Calibri" w:hAnsi="Calibri"/>
          <w:b/>
          <w:bCs/>
          <w:sz w:val="22"/>
          <w:szCs w:val="22"/>
        </w:rPr>
        <w:t xml:space="preserve">Classifier-Chain XGBoost. </w:t>
      </w:r>
      <w:r>
        <w:rPr>
          <w:rFonts w:ascii="Calibri" w:cs="Calibri" w:eastAsia="Calibri" w:hAnsi="Calibri"/>
          <w:sz w:val="22"/>
          <w:szCs w:val="22"/>
        </w:rPr>
        <w:t xml:space="preserve">To exploit dependencies between items (for instance, a reported slap raising the probability of reported fear), a strategically ordered classifier chain was trained so that each prediction is conditioned on earlier ones, achieving comparable accuracy with improved dependency modelling.</w:t>
      </w:r>
    </w:p>
    <w:p>
      <w:pPr>
        <w:pStyle w:val="ListParagraph"/>
        <w:numPr>
          <w:ilvl w:val="0"/>
          <w:numId w:val="4"/>
        </w:numPr>
        <w:spacing w:after="60" w:line="282"/>
      </w:pPr>
      <w:r>
        <w:rPr>
          <w:rFonts w:ascii="Calibri" w:cs="Calibri" w:eastAsia="Calibri" w:hAnsi="Calibri"/>
          <w:b/>
          <w:bCs/>
          <w:sz w:val="22"/>
          <w:szCs w:val="22"/>
        </w:rPr>
        <w:t xml:space="preserve">K-Means clustering. </w:t>
      </w:r>
      <w:r>
        <w:rPr>
          <w:rFonts w:ascii="Calibri" w:cs="Calibri" w:eastAsia="Calibri" w:hAnsi="Calibri"/>
          <w:sz w:val="22"/>
          <w:szCs w:val="22"/>
        </w:rPr>
        <w:t xml:space="preserve">Used to derive a single data-driven stability target, later superseded because it under-detected the minority high-risk class.</w:t>
      </w:r>
    </w:p>
    <w:p>
      <w:pPr>
        <w:pStyle w:val="ListParagraph"/>
        <w:numPr>
          <w:ilvl w:val="0"/>
          <w:numId w:val="4"/>
        </w:numPr>
        <w:spacing w:after="60" w:line="282"/>
      </w:pPr>
      <w:r>
        <w:rPr>
          <w:rFonts w:ascii="Calibri" w:cs="Calibri" w:eastAsia="Calibri" w:hAnsi="Calibri"/>
          <w:b/>
          <w:bCs/>
          <w:sz w:val="22"/>
          <w:szCs w:val="22"/>
        </w:rPr>
        <w:t xml:space="preserve">Deterministic target + XGBoost. </w:t>
      </w:r>
      <w:r>
        <w:rPr>
          <w:rFonts w:ascii="Calibri" w:cs="Calibri" w:eastAsia="Calibri" w:hAnsi="Calibri"/>
          <w:sz w:val="22"/>
          <w:szCs w:val="22"/>
        </w:rPr>
        <w:t xml:space="preserve">The final approach, trained against the rule-based red-flag label with balanced sampling and threshold tuning to maximise recall on the high-risk class.</w:t>
      </w:r>
    </w:p>
    <w:p>
      <w:pPr>
        <w:pStyle w:val="ListParagraph"/>
        <w:numPr>
          <w:ilvl w:val="0"/>
          <w:numId w:val="4"/>
        </w:numPr>
        <w:spacing w:after="60" w:line="282"/>
      </w:pPr>
      <w:r>
        <w:rPr>
          <w:rFonts w:ascii="Calibri" w:cs="Calibri" w:eastAsia="Calibri" w:hAnsi="Calibri"/>
          <w:b/>
          <w:bCs/>
          <w:sz w:val="22"/>
          <w:szCs w:val="22"/>
        </w:rPr>
        <w:t xml:space="preserve">Interpretable baselines. </w:t>
      </w:r>
      <w:r>
        <w:rPr>
          <w:rFonts w:ascii="Calibri" w:cs="Calibri" w:eastAsia="Calibri" w:hAnsi="Calibri"/>
          <w:sz w:val="22"/>
          <w:szCs w:val="22"/>
        </w:rPr>
        <w:t xml:space="preserve">Decision-Tree and Naïve-Bayes models were trained as transparent baselines, in line with the literature’s observation that simpler models often suit sparse sociological data.</w:t>
      </w:r>
    </w:p>
    <w:p>
      <w:pPr>
        <w:pStyle w:val="ListParagraph"/>
        <w:numPr>
          <w:ilvl w:val="0"/>
          <w:numId w:val="4"/>
        </w:numPr>
        <w:spacing w:after="60" w:line="282"/>
      </w:pPr>
      <w:r>
        <w:rPr>
          <w:rFonts w:ascii="Calibri" w:cs="Calibri" w:eastAsia="Calibri" w:hAnsi="Calibri"/>
          <w:b/>
          <w:bCs/>
          <w:sz w:val="22"/>
          <w:szCs w:val="22"/>
        </w:rPr>
        <w:t xml:space="preserve">Deployable artefacts. </w:t>
      </w:r>
      <w:r>
        <w:rPr>
          <w:rFonts w:ascii="Calibri" w:cs="Calibri" w:eastAsia="Calibri" w:hAnsi="Calibri"/>
          <w:sz w:val="22"/>
          <w:szCs w:val="22"/>
        </w:rPr>
        <w:t xml:space="preserve">On the Love-vs-Arranged dataset, XGBoost and LightGBM models were trained and serialised with their encoders and prediction scripts for integration into the website.</w:t>
      </w:r>
    </w:p>
    <w:p>
      <w:pPr>
        <w:pStyle w:val="Heading2"/>
        <w:spacing w:after="100" w:before="220"/>
      </w:pPr>
      <w:r>
        <w:rPr>
          <w:rFonts w:ascii="Calibri" w:cs="Calibri" w:eastAsia="Calibri" w:hAnsi="Calibri"/>
          <w:b/>
          <w:bCs/>
          <w:color w:val="2E75B6"/>
          <w:sz w:val="25"/>
          <w:szCs w:val="25"/>
        </w:rPr>
        <w:t xml:space="preserve">3.9.1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Strategy</w:t>
            </w:r>
          </w:p>
        </w:tc>
        <w:tc>
          <w:tcPr>
            <w:tcW w:type="dxa" w:w="33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Objective</w:t>
            </w:r>
          </w:p>
        </w:tc>
        <w:tc>
          <w:tcPr>
            <w:tcW w:type="dxa" w:w="3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Indicative Result</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Multi-output XGBoost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Predict 9 items independently</w:t>
            </w:r>
          </w:p>
        </w:tc>
        <w:tc>
          <w:tcPr>
            <w:tcW w:type="dxa" w:w="3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 79.8% avg per-question accuracy</w:t>
            </w:r>
          </w:p>
        </w:tc>
      </w:tr>
      <w:tr>
        <w:tc>
          <w:tcPr>
            <w:tcW w:type="dxa" w:w="29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Classifier-Chain XGBoost</w:t>
            </w:r>
          </w:p>
        </w:tc>
        <w:tc>
          <w:tcPr>
            <w:tcW w:type="dxa" w:w="33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Model inter-item dependencies</w:t>
            </w:r>
          </w:p>
        </w:tc>
        <w:tc>
          <w:tcPr>
            <w:tcW w:type="dxa" w:w="31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Similar accuracy, better dependency capture</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K-Means clustering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Data-driven stability label</w:t>
            </w:r>
          </w:p>
        </w:tc>
        <w:tc>
          <w:tcPr>
            <w:tcW w:type="dxa" w:w="3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Under-detected high-risk minority</w:t>
            </w:r>
          </w:p>
        </w:tc>
      </w:tr>
      <w:tr>
        <w:tc>
          <w:tcPr>
            <w:tcW w:type="dxa" w:w="2900"/>
            <w:tcBorders>
              <w:top w:val="single" w:color="BBBBBB" w:sz="1"/>
              <w:left w:val="single" w:color="BBBBBB" w:sz="1"/>
              <w:bottom w:val="single" w:color="BBBBBB" w:sz="1"/>
              <w:right w:val="single" w:color="BBBBBB" w:sz="1"/>
            </w:tcBorders>
            <w:shd w:fill="FCE8D5"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Deterministic target + XGBoost</w:t>
            </w:r>
          </w:p>
        </w:tc>
        <w:tc>
          <w:tcPr>
            <w:tcW w:type="dxa" w:w="3300"/>
            <w:tcBorders>
              <w:top w:val="single" w:color="BBBBBB" w:sz="1"/>
              <w:left w:val="single" w:color="BBBBBB" w:sz="1"/>
              <w:bottom w:val="single" w:color="BBBBBB" w:sz="1"/>
              <w:right w:val="single" w:color="BBBBBB" w:sz="1"/>
            </w:tcBorders>
            <w:shd w:fill="FCE8D5"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Safety-aligned, reproducible label</w:t>
            </w:r>
          </w:p>
        </w:tc>
        <w:tc>
          <w:tcPr>
            <w:tcW w:type="dxa" w:w="3160"/>
            <w:tcBorders>
              <w:top w:val="single" w:color="BBBBBB" w:sz="1"/>
              <w:left w:val="single" w:color="BBBBBB" w:sz="1"/>
              <w:bottom w:val="single" w:color="BBBBBB" w:sz="1"/>
              <w:right w:val="single" w:color="BBBBBB" w:sz="1"/>
            </w:tcBorders>
            <w:shd w:fill="FCE8D5"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Balanced ≈ 59–60% with improved risk recall</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Decision Tree / Naïve Bayes</w:t>
            </w:r>
          </w:p>
        </w:tc>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Interpretable baselines</w:t>
            </w:r>
          </w:p>
        </w:tc>
        <w:tc>
          <w:tcPr>
            <w:tcW w:type="dxa" w:w="3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Strong fit on engineered targets</w:t>
            </w:r>
          </w:p>
        </w:tc>
      </w:tr>
      <w:tr>
        <w:tc>
          <w:tcPr>
            <w:tcW w:type="dxa" w:w="29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XGBoost + LightGBM (Love/Arranged)</w:t>
            </w:r>
          </w:p>
        </w:tc>
        <w:tc>
          <w:tcPr>
            <w:tcW w:type="dxa" w:w="33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Deployable compatibility models</w:t>
            </w:r>
          </w:p>
        </w:tc>
        <w:tc>
          <w:tcPr>
            <w:tcW w:type="dxa" w:w="31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sz w:val="20"/>
                <w:szCs w:val="20"/>
              </w:rPr>
              <w:t xml:space="preserve">Saved models + prediction scripts</w:t>
            </w:r>
          </w:p>
        </w:tc>
      </w:tr>
    </w:tbl>
    <w:p>
      <w:pPr>
        <w:spacing w:after="160" w:before="60"/>
        <w:jc w:val="left"/>
      </w:pPr>
      <w:r>
        <w:rPr>
          <w:rFonts w:ascii="Calibri" w:cs="Calibri" w:eastAsia="Calibri" w:hAnsi="Calibri"/>
          <w:i/>
          <w:iCs/>
          <w:color w:val="666666"/>
          <w:sz w:val="19"/>
          <w:szCs w:val="19"/>
        </w:rPr>
        <w:t xml:space="preserve">Table 3.4  Summary of modelling strategies and indicative outcomes.</w:t>
      </w:r>
    </w:p>
    <w:p>
      <w:r>
        <w:br w:type="page"/>
      </w:r>
    </w:p>
    <w:p>
      <w:pPr>
        <w:pStyle w:val="Heading1"/>
        <w:pBdr>
          <w:bottom w:val="single" w:color="2E75B6" w:sz="6" w:space="2"/>
        </w:pBdr>
        <w:spacing w:after="160" w:before="300"/>
      </w:pPr>
      <w:r>
        <w:rPr>
          <w:rFonts w:ascii="Calibri" w:cs="Calibri" w:eastAsia="Calibri" w:hAnsi="Calibri"/>
          <w:b/>
          <w:bCs/>
          <w:color w:val="1F4E79"/>
          <w:sz w:val="30"/>
          <w:szCs w:val="30"/>
        </w:rPr>
        <w:t xml:space="preserve">3.10  Handling Class Imbalance</w:t>
      </w:r>
    </w:p>
    <w:p>
      <w:pPr>
        <w:spacing w:after="120" w:line="288"/>
        <w:jc w:val="both"/>
      </w:pPr>
      <w:r>
        <w:rPr>
          <w:rFonts w:ascii="Calibri" w:cs="Calibri" w:eastAsia="Calibri" w:hAnsi="Calibri"/>
          <w:sz w:val="22"/>
          <w:szCs w:val="22"/>
        </w:rPr>
        <w:t xml:space="preserve">Because high-risk marriages form a clear minority (approximately a 77:23 split), naive training biases models toward the majority class. A range of imbalance-handling techniques was therefore evaluated:</w:t>
      </w:r>
    </w:p>
    <w:p>
      <w:pPr>
        <w:pStyle w:val="ListParagraph"/>
        <w:numPr>
          <w:ilvl w:val="0"/>
          <w:numId w:val="4"/>
        </w:numPr>
        <w:spacing w:after="60" w:line="282"/>
      </w:pPr>
      <w:r>
        <w:rPr>
          <w:rFonts w:ascii="Calibri" w:cs="Calibri" w:eastAsia="Calibri" w:hAnsi="Calibri"/>
          <w:b/>
          <w:bCs/>
          <w:sz w:val="22"/>
          <w:szCs w:val="22"/>
        </w:rPr>
        <w:t xml:space="preserve">Class weighting. </w:t>
      </w:r>
      <w:r>
        <w:rPr>
          <w:rFonts w:ascii="Calibri" w:cs="Calibri" w:eastAsia="Calibri" w:hAnsi="Calibri"/>
          <w:sz w:val="22"/>
          <w:szCs w:val="22"/>
        </w:rPr>
        <w:t xml:space="preserve">Increasing the loss weight of the minority class (including an aggressive scale-positive-weight setting) to penalise misclassification of high-risk couples.</w:t>
      </w:r>
    </w:p>
    <w:p>
      <w:pPr>
        <w:pStyle w:val="ListParagraph"/>
        <w:numPr>
          <w:ilvl w:val="0"/>
          <w:numId w:val="4"/>
        </w:numPr>
        <w:spacing w:after="60" w:line="282"/>
      </w:pPr>
      <w:r>
        <w:rPr>
          <w:rFonts w:ascii="Calibri" w:cs="Calibri" w:eastAsia="Calibri" w:hAnsi="Calibri"/>
          <w:b/>
          <w:bCs/>
          <w:sz w:val="22"/>
          <w:szCs w:val="22"/>
        </w:rPr>
        <w:t xml:space="preserve">SMOTETomek. </w:t>
      </w:r>
      <w:r>
        <w:rPr>
          <w:rFonts w:ascii="Calibri" w:cs="Calibri" w:eastAsia="Calibri" w:hAnsi="Calibri"/>
          <w:sz w:val="22"/>
          <w:szCs w:val="22"/>
        </w:rPr>
        <w:t xml:space="preserve">A combined over- and under-sampling method that synthesises minority examples and removes ambiguous borderline (Tomek-link) pairs to sharpen the decision boundary.</w:t>
      </w:r>
    </w:p>
    <w:p>
      <w:pPr>
        <w:pStyle w:val="ListParagraph"/>
        <w:numPr>
          <w:ilvl w:val="0"/>
          <w:numId w:val="4"/>
        </w:numPr>
        <w:spacing w:after="60" w:line="282"/>
      </w:pPr>
      <w:r>
        <w:rPr>
          <w:rFonts w:ascii="Calibri" w:cs="Calibri" w:eastAsia="Calibri" w:hAnsi="Calibri"/>
          <w:b/>
          <w:bCs/>
          <w:sz w:val="22"/>
          <w:szCs w:val="22"/>
        </w:rPr>
        <w:t xml:space="preserve">Random over-sampling. </w:t>
      </w:r>
      <w:r>
        <w:rPr>
          <w:rFonts w:ascii="Calibri" w:cs="Calibri" w:eastAsia="Calibri" w:hAnsi="Calibri"/>
          <w:sz w:val="22"/>
          <w:szCs w:val="22"/>
        </w:rPr>
        <w:t xml:space="preserve">Duplicating minority examples in the training partition to balance the class distribution before fitting.</w:t>
      </w:r>
    </w:p>
    <w:p>
      <w:pPr>
        <w:pStyle w:val="ListParagraph"/>
        <w:numPr>
          <w:ilvl w:val="0"/>
          <w:numId w:val="4"/>
        </w:numPr>
        <w:spacing w:after="60" w:line="282"/>
      </w:pPr>
      <w:r>
        <w:rPr>
          <w:rFonts w:ascii="Calibri" w:cs="Calibri" w:eastAsia="Calibri" w:hAnsi="Calibri"/>
          <w:b/>
          <w:bCs/>
          <w:sz w:val="22"/>
          <w:szCs w:val="22"/>
        </w:rPr>
        <w:t xml:space="preserve">Threshold optimisation. </w:t>
      </w:r>
      <w:r>
        <w:rPr>
          <w:rFonts w:ascii="Calibri" w:cs="Calibri" w:eastAsia="Calibri" w:hAnsi="Calibri"/>
          <w:sz w:val="22"/>
          <w:szCs w:val="22"/>
        </w:rPr>
        <w:t xml:space="preserve">Tuning the decision threshold (rather than defaulting to 0.5) to maximise the F1-score or recall for the high-risk class.</w:t>
      </w:r>
    </w:p>
    <w:p>
      <w:pPr>
        <w:spacing w:after="80" w:line="288"/>
        <w:jc w:val="both"/>
      </w:pPr>
      <w:r>
        <w:rPr>
          <w:rFonts w:ascii="Calibri" w:cs="Calibri" w:eastAsia="Calibri" w:hAnsi="Calibri"/>
          <w:sz w:val="22"/>
          <w:szCs w:val="22"/>
        </w:rPr>
        <w:t xml:space="preserve">These techniques were applied only to the training partition, leaving the test set untouched, so that reported performance reflects genuine generalisation rather than leakage from synthetic samples.</w:t>
      </w:r>
    </w:p>
    <w:p>
      <w:pPr>
        <w:pStyle w:val="Heading1"/>
        <w:pBdr>
          <w:bottom w:val="single" w:color="2E75B6" w:sz="6" w:space="2"/>
        </w:pBdr>
        <w:spacing w:after="160" w:before="300"/>
      </w:pPr>
      <w:r>
        <w:rPr>
          <w:rFonts w:ascii="Calibri" w:cs="Calibri" w:eastAsia="Calibri" w:hAnsi="Calibri"/>
          <w:b/>
          <w:bCs/>
          <w:color w:val="1F4E79"/>
          <w:sz w:val="30"/>
          <w:szCs w:val="30"/>
        </w:rPr>
        <w:t xml:space="preserve">3.11  Evaluation Methodology</w:t>
      </w:r>
    </w:p>
    <w:p>
      <w:pPr>
        <w:spacing w:after="120" w:line="288"/>
        <w:jc w:val="both"/>
      </w:pPr>
      <w:r>
        <w:rPr>
          <w:rFonts w:ascii="Calibri" w:cs="Calibri" w:eastAsia="Calibri" w:hAnsi="Calibri"/>
          <w:sz w:val="22"/>
          <w:szCs w:val="22"/>
        </w:rPr>
        <w:t xml:space="preserve">Models were assessed with a deliberate emphasis on the minority class rather than headline accuracy alone, since a model that simply predicts “stable” for everyone would score highly yet be useless for risk detection. The evaluation protocol comprised:</w:t>
      </w:r>
    </w:p>
    <w:p>
      <w:pPr>
        <w:pStyle w:val="ListParagraph"/>
        <w:numPr>
          <w:ilvl w:val="0"/>
          <w:numId w:val="4"/>
        </w:numPr>
        <w:spacing w:after="60" w:line="282"/>
      </w:pPr>
      <w:r>
        <w:rPr>
          <w:rFonts w:ascii="Calibri" w:cs="Calibri" w:eastAsia="Calibri" w:hAnsi="Calibri"/>
          <w:b w:val="false"/>
          <w:bCs w:val="false"/>
          <w:sz w:val="22"/>
          <w:szCs w:val="22"/>
        </w:rPr>
        <w:t xml:space="preserve">Stratified train–test split </w:t>
      </w:r>
      <w:r>
        <w:rPr>
          <w:rFonts w:ascii="Calibri" w:cs="Calibri" w:eastAsia="Calibri" w:hAnsi="Calibri"/>
          <w:sz w:val="22"/>
          <w:szCs w:val="22"/>
        </w:rPr>
        <w:t xml:space="preserve">(typically 80:20) preserving the class ratio in both partitions.</w:t>
      </w:r>
    </w:p>
    <w:p>
      <w:pPr>
        <w:pStyle w:val="ListParagraph"/>
        <w:numPr>
          <w:ilvl w:val="0"/>
          <w:numId w:val="4"/>
        </w:numPr>
        <w:spacing w:after="60" w:line="282"/>
      </w:pPr>
      <w:r>
        <w:rPr>
          <w:rFonts w:ascii="Calibri" w:cs="Calibri" w:eastAsia="Calibri" w:hAnsi="Calibri"/>
          <w:b w:val="false"/>
          <w:bCs w:val="false"/>
          <w:sz w:val="22"/>
          <w:szCs w:val="22"/>
        </w:rPr>
        <w:t xml:space="preserve">Classification report </w:t>
      </w:r>
      <w:r>
        <w:rPr>
          <w:rFonts w:ascii="Calibri" w:cs="Calibri" w:eastAsia="Calibri" w:hAnsi="Calibri"/>
          <w:sz w:val="22"/>
          <w:szCs w:val="22"/>
        </w:rPr>
        <w:t xml:space="preserve">reporting precision, recall and F1-score per class, with particular attention to recall on the high-risk class.</w:t>
      </w:r>
    </w:p>
    <w:p>
      <w:pPr>
        <w:pStyle w:val="ListParagraph"/>
        <w:numPr>
          <w:ilvl w:val="0"/>
          <w:numId w:val="4"/>
        </w:numPr>
        <w:spacing w:after="60" w:line="282"/>
      </w:pPr>
      <w:r>
        <w:rPr>
          <w:rFonts w:ascii="Calibri" w:cs="Calibri" w:eastAsia="Calibri" w:hAnsi="Calibri"/>
          <w:b w:val="false"/>
          <w:bCs w:val="false"/>
          <w:sz w:val="22"/>
          <w:szCs w:val="22"/>
        </w:rPr>
        <w:t xml:space="preserve">Confusion matrix </w:t>
      </w:r>
      <w:r>
        <w:rPr>
          <w:rFonts w:ascii="Calibri" w:cs="Calibri" w:eastAsia="Calibri" w:hAnsi="Calibri"/>
          <w:sz w:val="22"/>
          <w:szCs w:val="22"/>
        </w:rPr>
        <w:t xml:space="preserve">to expose the trade-off between false negatives (missed high-risk cases) and false positives.</w:t>
      </w:r>
    </w:p>
    <w:p>
      <w:pPr>
        <w:pStyle w:val="ListParagraph"/>
        <w:numPr>
          <w:ilvl w:val="0"/>
          <w:numId w:val="4"/>
        </w:numPr>
        <w:spacing w:after="60" w:line="282"/>
      </w:pPr>
      <w:r>
        <w:rPr>
          <w:rFonts w:ascii="Calibri" w:cs="Calibri" w:eastAsia="Calibri" w:hAnsi="Calibri"/>
          <w:b w:val="false"/>
          <w:bCs w:val="false"/>
          <w:sz w:val="22"/>
          <w:szCs w:val="22"/>
        </w:rPr>
        <w:t xml:space="preserve">Macro- and weighted-averages </w:t>
      </w:r>
      <w:r>
        <w:rPr>
          <w:rFonts w:ascii="Calibri" w:cs="Calibri" w:eastAsia="Calibri" w:hAnsi="Calibri"/>
          <w:sz w:val="22"/>
          <w:szCs w:val="22"/>
        </w:rPr>
        <w:t xml:space="preserve">to summarise balanced performance across classes.</w:t>
      </w:r>
    </w:p>
    <w:p>
      <w:pPr>
        <w:pStyle w:val="ListParagraph"/>
        <w:numPr>
          <w:ilvl w:val="0"/>
          <w:numId w:val="4"/>
        </w:numPr>
        <w:spacing w:after="60" w:line="282"/>
      </w:pPr>
      <w:r>
        <w:rPr>
          <w:rFonts w:ascii="Calibri" w:cs="Calibri" w:eastAsia="Calibri" w:hAnsi="Calibri"/>
          <w:b w:val="false"/>
          <w:bCs w:val="false"/>
          <w:sz w:val="22"/>
          <w:szCs w:val="22"/>
        </w:rPr>
        <w:t xml:space="preserve">Model-selection criteria </w:t>
      </w:r>
      <w:r>
        <w:rPr>
          <w:rFonts w:ascii="Calibri" w:cs="Calibri" w:eastAsia="Calibri" w:hAnsi="Calibri"/>
          <w:sz w:val="22"/>
          <w:szCs w:val="22"/>
        </w:rPr>
        <w:t xml:space="preserve">using AIC/BIC for parametric comparison and the Hosmer–Lemeshow goodness-of-fit test where logistic models were involved, consistent with the analytical methods in the supporting literature.</w:t>
      </w:r>
    </w:p>
    <w:p>
      <w:pPr>
        <w:pStyle w:val="ListParagraph"/>
        <w:numPr>
          <w:ilvl w:val="0"/>
          <w:numId w:val="4"/>
        </w:numPr>
        <w:spacing w:after="60" w:line="282"/>
      </w:pPr>
      <w:r>
        <w:rPr>
          <w:rFonts w:ascii="Calibri" w:cs="Calibri" w:eastAsia="Calibri" w:hAnsi="Calibri"/>
          <w:b w:val="false"/>
          <w:bCs w:val="false"/>
          <w:sz w:val="22"/>
          <w:szCs w:val="22"/>
        </w:rPr>
        <w:t xml:space="preserve">Statistical validation </w:t>
      </w:r>
      <w:r>
        <w:rPr>
          <w:rFonts w:ascii="Calibri" w:cs="Calibri" w:eastAsia="Calibri" w:hAnsi="Calibri"/>
          <w:sz w:val="22"/>
          <w:szCs w:val="22"/>
        </w:rPr>
        <w:t xml:space="preserve">of any resampling using t-tests and chi-square tests to confirm that balancing did not distort the global distribution of key variables.</w:t>
      </w:r>
    </w:p>
    <w:p>
      <w:pPr>
        <w:pStyle w:val="Heading1"/>
        <w:pBdr>
          <w:bottom w:val="single" w:color="2E75B6" w:sz="6" w:space="2"/>
        </w:pBdr>
        <w:spacing w:after="160" w:before="300"/>
      </w:pPr>
      <w:r>
        <w:rPr>
          <w:rFonts w:ascii="Calibri" w:cs="Calibri" w:eastAsia="Calibri" w:hAnsi="Calibri"/>
          <w:b/>
          <w:bCs/>
          <w:color w:val="1F4E79"/>
          <w:sz w:val="30"/>
          <w:szCs w:val="30"/>
        </w:rPr>
        <w:t xml:space="preserve">3.12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Category</w:t>
            </w:r>
          </w:p>
        </w:tc>
        <w:tc>
          <w:tcPr>
            <w:tcW w:type="dxa" w:w="67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21"/>
                <w:szCs w:val="21"/>
              </w:rPr>
              <w:t xml:space="preserve">Tools / Libraries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Language</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Python 3</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Data handling</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pandas, NumPy, Stata reader, category_encoders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Machine learning</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scikit-learn, XGBoost, LightGBM</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Imbalance handling</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imbalanced-learn (SMOTETomek, RandomOverSampler)</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Clustering / reduction</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K-Means, PCA</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Model persistence</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joblib (serialised .pkl model artefacts)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Statistical testing</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SciPy (t-test, chi-square)</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b/>
                <w:bCs/>
                <w:sz w:val="20"/>
                <w:szCs w:val="20"/>
              </w:rPr>
              <w:t xml:space="preserve">Development</w:t>
            </w:r>
          </w:p>
        </w:tc>
        <w:tc>
          <w:tcPr>
            <w:tcW w:type="dxa" w:w="67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vAlign w:val="center"/>
          </w:tcPr>
          <w:p>
            <w:pPr>
              <w:spacing w:after="0" w:line="264"/>
              <w:jc w:val="left"/>
            </w:pPr>
            <w:r>
              <w:rPr>
                <w:rFonts w:ascii="Calibri" w:cs="Calibri" w:eastAsia="Calibri" w:hAnsi="Calibri"/>
                <w:sz w:val="20"/>
                <w:szCs w:val="20"/>
              </w:rPr>
              <w:t xml:space="preserve">Jupyter Notebook / VS Code</w:t>
            </w:r>
          </w:p>
        </w:tc>
      </w:tr>
    </w:tbl>
    <w:p>
      <w:pPr>
        <w:spacing w:after="160" w:before="60"/>
        <w:jc w:val="left"/>
      </w:pPr>
      <w:r>
        <w:rPr>
          <w:rFonts w:ascii="Calibri" w:cs="Calibri" w:eastAsia="Calibri" w:hAnsi="Calibri"/>
          <w:i/>
          <w:iCs/>
          <w:color w:val="666666"/>
          <w:sz w:val="19"/>
          <w:szCs w:val="19"/>
        </w:rPr>
        <w:t xml:space="preserve">Table 3.5  Tools and technologies used in the project.</w:t>
      </w:r>
    </w:p>
    <w:p>
      <w:pPr>
        <w:pStyle w:val="Heading1"/>
        <w:pBdr>
          <w:bottom w:val="single" w:color="2E75B6" w:sz="6" w:space="2"/>
        </w:pBdr>
        <w:spacing w:after="160" w:before="300"/>
      </w:pPr>
      <w:r>
        <w:rPr>
          <w:rFonts w:ascii="Calibri" w:cs="Calibri" w:eastAsia="Calibri" w:hAnsi="Calibri"/>
          <w:b/>
          <w:bCs/>
          <w:color w:val="1F4E79"/>
          <w:sz w:val="30"/>
          <w:szCs w:val="30"/>
        </w:rPr>
        <w:t xml:space="preserve">3.13  System Workflow Summary</w:t>
      </w:r>
    </w:p>
    <w:p>
      <w:pPr>
        <w:spacing w:after="120" w:line="288"/>
        <w:jc w:val="both"/>
      </w:pPr>
      <w:r>
        <w:rPr>
          <w:rFonts w:ascii="Calibri" w:cs="Calibri" w:eastAsia="Calibri" w:hAnsi="Calibri"/>
          <w:sz w:val="22"/>
          <w:szCs w:val="22"/>
        </w:rPr>
        <w:t xml:space="preserve">The end-to-end methodology can be summarised as a single pipeline. Raw survey and profile data are decoded and cleaned; categorical attributes are encoded and enriched with literature-based heterogamy features; a deterministic, safety-aligned stability target is constructed; and machine-learning models are trained on balanced data and evaluated with class-sensitive metrics. At inference time, a seeker’s active, opposite-gender candidates are filtered by bidirectional mutual-preference rules and scored transparently in Layer 1, then re-scored by the trained compatibility model in Layer 2, and finally fused into a single ranked list of recommendations. This hybrid design delivers recommendations that are simultaneously explainable, mutually fair, and informed by patterns learned from real couple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Matrimonial Matchmaking: A Machine Learning Approach — Design and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2"/>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Methodology — Matrimonial Matchmaking</dc:title>
  <dc:creator>Project Team</dc:creator>
  <cp:lastModifiedBy>Un-named</cp:lastModifiedBy>
  <cp:revision>1</cp:revision>
  <dcterms:created xsi:type="dcterms:W3CDTF">2026-06-14T18:18:49.078Z</dcterms:created>
  <dcterms:modified xsi:type="dcterms:W3CDTF">2026-06-14T18:18:49.078Z</dcterms:modified>
</cp:coreProperties>
</file>

<file path=docProps/custom.xml><?xml version="1.0" encoding="utf-8"?>
<Properties xmlns="http://schemas.openxmlformats.org/officeDocument/2006/custom-properties" xmlns:vt="http://schemas.openxmlformats.org/officeDocument/2006/docPropsVTypes"/>
</file>