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 Brief: Bharatiya Nyay Sanhita (BNS) and Adjunct Laws</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Bharatiya Nyaya (Second) Sanhita, and Bharatiya Nagrik Suraksha (Second) Sanhita came into effect on 1 July, 2024 after being passed by the Parliament in December 2023 to replace the Indian Penal Code, and CrPC respectively. </w:t>
      </w:r>
    </w:p>
    <w:p w:rsidR="00000000" w:rsidDel="00000000" w:rsidP="00000000" w:rsidRDefault="00000000" w:rsidRPr="00000000" w14:paraId="00000007">
      <w:pPr>
        <w:numPr>
          <w:ilvl w:val="0"/>
          <w:numId w:val="2"/>
        </w:numPr>
        <w:shd w:fill="ffffff" w:val="clea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Three Criminal Laws were bulldozed through Parliament while 141 opposition MPs were suspended, which is against parliamentary procedures and integrity.</w:t>
      </w:r>
    </w:p>
    <w:p w:rsidR="00000000" w:rsidDel="00000000" w:rsidP="00000000" w:rsidRDefault="00000000" w:rsidRPr="00000000" w14:paraId="00000008">
      <w:pPr>
        <w:numPr>
          <w:ilvl w:val="0"/>
          <w:numId w:val="2"/>
        </w:numPr>
        <w:shd w:fill="ffffff" w:val="clear"/>
        <w:spacing w:after="16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period of consultation and scrutiny for the three bills was woefully short, and stakeholders and civil society members were excluded. This resulted in poor quality of the drafting of these bills, and ambiguity in the law.</w:t>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Highlights</w:t>
      </w:r>
    </w:p>
    <w:p w:rsidR="00000000" w:rsidDel="00000000" w:rsidP="00000000" w:rsidRDefault="00000000" w:rsidRPr="00000000" w14:paraId="0000000A">
      <w:pPr>
        <w:numPr>
          <w:ilvl w:val="0"/>
          <w:numId w:val="2"/>
        </w:numPr>
        <w:shd w:fill="ffffff" w:val="clea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BNS2 removes sedition as an offence.  The provisions on endangering the sovereignty, unity and integrity of India have retained aspects of sedition. </w:t>
      </w:r>
    </w:p>
    <w:p w:rsidR="00000000" w:rsidDel="00000000" w:rsidP="00000000" w:rsidRDefault="00000000" w:rsidRPr="00000000" w14:paraId="0000000B">
      <w:pPr>
        <w:numPr>
          <w:ilvl w:val="0"/>
          <w:numId w:val="2"/>
        </w:numPr>
        <w:shd w:fill="ffffff" w:val="clea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BNS2 retains the provisions of the IPC on rape and sexual harassment. It does not consider recommendations of the Justice Verma Committee (2013) such as making the offence of rape gender neutral and including marital rape as an offence. </w:t>
      </w:r>
    </w:p>
    <w:p w:rsidR="00000000" w:rsidDel="00000000" w:rsidP="00000000" w:rsidRDefault="00000000" w:rsidRPr="00000000" w14:paraId="0000000C">
      <w:pPr>
        <w:numPr>
          <w:ilvl w:val="0"/>
          <w:numId w:val="2"/>
        </w:numPr>
        <w:shd w:fill="ffffff" w:val="clear"/>
        <w:spacing w:after="16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BNS2 omits S. 377 of IPC which was read down by the Supreme Court. This removes rape of men and bestiality as offences.</w:t>
      </w:r>
    </w:p>
    <w:p w:rsidR="00000000" w:rsidDel="00000000" w:rsidP="00000000" w:rsidRDefault="00000000" w:rsidRPr="00000000" w14:paraId="0000000D">
      <w:pPr>
        <w:shd w:fill="ffffff" w:val="clea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Provisions</w:t>
      </w:r>
    </w:p>
    <w:p w:rsidR="00000000" w:rsidDel="00000000" w:rsidP="00000000" w:rsidRDefault="00000000" w:rsidRPr="00000000" w14:paraId="0000000E">
      <w:pPr>
        <w:numPr>
          <w:ilvl w:val="0"/>
          <w:numId w:val="3"/>
        </w:numPr>
        <w:shd w:fill="ffffff" w:val="clea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BNS: Community service is now a punishment for offences such as: theft of property worth less than Rs. 5,000, appearing in a public place intoxicated etc.</w:t>
      </w:r>
    </w:p>
    <w:p w:rsidR="00000000" w:rsidDel="00000000" w:rsidP="00000000" w:rsidRDefault="00000000" w:rsidRPr="00000000" w14:paraId="0000000F">
      <w:pPr>
        <w:numPr>
          <w:ilvl w:val="0"/>
          <w:numId w:val="3"/>
        </w:numPr>
        <w:shd w:fill="ffffff" w:val="clea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BNSS: All trials, inquiries, and proceedings may be held in electronic mode.  Production of electronic communication devices, likely to contain digital evidence, will be allowed for investigation, inquiry, or trial.</w:t>
      </w:r>
    </w:p>
    <w:p w:rsidR="00000000" w:rsidDel="00000000" w:rsidP="00000000" w:rsidRDefault="00000000" w:rsidRPr="00000000" w14:paraId="00000010">
      <w:pPr>
        <w:numPr>
          <w:ilvl w:val="0"/>
          <w:numId w:val="3"/>
        </w:numPr>
        <w:shd w:fill="ffffff" w:val="clear"/>
        <w:spacing w:after="160" w:line="360" w:lineRule="auto"/>
        <w:ind w:left="72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A complainant may approach any police station irrespective of territorial jurisdiction to file an FIR. (173(1) BNSS). For </w:t>
      </w:r>
      <w:r w:rsidDel="00000000" w:rsidR="00000000" w:rsidRPr="00000000">
        <w:rPr>
          <w:rFonts w:ascii="Times New Roman" w:cs="Times New Roman" w:eastAsia="Times New Roman" w:hAnsi="Times New Roman"/>
          <w:color w:val="1a1a1a"/>
          <w:sz w:val="24"/>
          <w:szCs w:val="24"/>
          <w:highlight w:val="white"/>
          <w:rtl w:val="0"/>
        </w:rPr>
        <w:t xml:space="preserve">crimes that are punishable by jail terms between 3 and 7 years, police have the discretion to conduct a preliminary inquiry for 14 days before the FIR is filed.</w:t>
      </w:r>
      <w:r w:rsidDel="00000000" w:rsidR="00000000" w:rsidRPr="00000000">
        <w:rPr>
          <w:rtl w:val="0"/>
        </w:rPr>
      </w:r>
    </w:p>
    <w:p w:rsidR="00000000" w:rsidDel="00000000" w:rsidP="00000000" w:rsidRDefault="00000000" w:rsidRPr="00000000" w14:paraId="00000011">
      <w:pPr>
        <w:shd w:fill="ffffff" w:val="clear"/>
        <w:spacing w:after="160" w:line="36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69.489549245634"/>
        <w:gridCol w:w="3056.022261777989"/>
        <w:tblGridChange w:id="0">
          <w:tblGrid>
            <w:gridCol w:w="5969.489549245634"/>
            <w:gridCol w:w="3056.022261777989"/>
          </w:tblGrid>
        </w:tblGridChange>
      </w:tblGrid>
      <w:tr>
        <w:trPr>
          <w:cantSplit w:val="0"/>
          <w:trHeight w:val="795" w:hRule="atLeast"/>
          <w:tblHeader w:val="0"/>
        </w:trPr>
        <w:tc>
          <w:tcPr>
            <w:tcBorders>
              <w:top w:color="000000" w:space="0" w:sz="6" w:val="single"/>
              <w:left w:color="000000" w:space="0" w:sz="0" w:val="nil"/>
              <w:bottom w:color="000000" w:space="0" w:sz="6" w:val="single"/>
              <w:right w:color="000000" w:space="0" w:sz="6" w:val="dotted"/>
            </w:tcBorders>
            <w:shd w:fill="f2f2f2" w:val="clear"/>
            <w:tcMar>
              <w:top w:w="80.0" w:type="dxa"/>
              <w:left w:w="80.0" w:type="dxa"/>
              <w:bottom w:w="80.0" w:type="dxa"/>
              <w:right w:w="80.0" w:type="dxa"/>
            </w:tcMar>
            <w:vAlign w:val="top"/>
          </w:tcPr>
          <w:p w:rsidR="00000000" w:rsidDel="00000000" w:rsidP="00000000" w:rsidRDefault="00000000" w:rsidRPr="00000000" w14:paraId="00000012">
            <w:pPr>
              <w:spacing w:after="4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tc>
        <w:tc>
          <w:tcPr>
            <w:tcBorders>
              <w:top w:color="000000" w:space="0" w:sz="6" w:val="single"/>
              <w:left w:color="000000" w:space="0" w:sz="0" w:val="nil"/>
              <w:bottom w:color="000000" w:space="0" w:sz="6" w:val="single"/>
              <w:right w:color="000000" w:space="0" w:sz="0" w:val="nil"/>
            </w:tcBorders>
            <w:shd w:fill="f2f2f2" w:val="clear"/>
            <w:tcMar>
              <w:top w:w="80.0" w:type="dxa"/>
              <w:left w:w="80.0" w:type="dxa"/>
              <w:bottom w:w="80.0" w:type="dxa"/>
              <w:right w:w="80.0" w:type="dxa"/>
            </w:tcMar>
            <w:vAlign w:val="top"/>
          </w:tcPr>
          <w:p w:rsidR="00000000" w:rsidDel="00000000" w:rsidP="00000000" w:rsidRDefault="00000000" w:rsidRPr="00000000" w14:paraId="00000013">
            <w:pPr>
              <w:spacing w:after="4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incorporated in BNS2</w:t>
            </w:r>
          </w:p>
        </w:tc>
      </w:tr>
      <w:tr>
        <w:trPr>
          <w:cantSplit w:val="0"/>
          <w:trHeight w:val="1575" w:hRule="atLeast"/>
          <w:tblHeader w:val="0"/>
        </w:trPr>
        <w:tc>
          <w:tcPr>
            <w:tcBorders>
              <w:top w:color="000000" w:space="0" w:sz="0" w:val="nil"/>
              <w:left w:color="000000" w:space="0" w:sz="0" w:val="nil"/>
              <w:bottom w:color="000000" w:space="0" w:sz="6" w:val="dotted"/>
              <w:right w:color="000000" w:space="0" w:sz="6" w:val="dotted"/>
            </w:tcBorders>
            <w:tcMar>
              <w:top w:w="80.0" w:type="dxa"/>
              <w:left w:w="80.0" w:type="dxa"/>
              <w:bottom w:w="80.0" w:type="dxa"/>
              <w:right w:w="80.0" w:type="dxa"/>
            </w:tcMar>
            <w:vAlign w:val="top"/>
          </w:tcPr>
          <w:p w:rsidR="00000000" w:rsidDel="00000000" w:rsidP="00000000" w:rsidRDefault="00000000" w:rsidRPr="00000000" w14:paraId="00000014">
            <w:pPr>
              <w:spacing w:after="4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Rape (IPC s.375) – Any non-consensual activity of a sexual nature should be included in the definition of rape.  Exception to marital rape should be removed.</w:t>
            </w:r>
          </w:p>
        </w:tc>
        <w:tc>
          <w:tcPr>
            <w:tcBorders>
              <w:top w:color="000000" w:space="0" w:sz="0" w:val="nil"/>
              <w:left w:color="000000" w:space="0" w:sz="0" w:val="nil"/>
              <w:bottom w:color="000000" w:space="0" w:sz="6" w:val="dotted"/>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5">
            <w:pPr>
              <w:spacing w:after="4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Original provision retained in Clause 63.</w:t>
            </w:r>
          </w:p>
        </w:tc>
      </w:tr>
      <w:tr>
        <w:trPr>
          <w:cantSplit w:val="0"/>
          <w:trHeight w:val="1575" w:hRule="atLeast"/>
          <w:tblHeader w:val="0"/>
        </w:trPr>
        <w:tc>
          <w:tcPr>
            <w:tcBorders>
              <w:top w:color="000000" w:space="0" w:sz="0" w:val="nil"/>
              <w:left w:color="000000" w:space="0" w:sz="0" w:val="nil"/>
              <w:bottom w:color="000000" w:space="0" w:sz="6" w:val="dotted"/>
              <w:right w:color="000000" w:space="0" w:sz="6" w:val="dotted"/>
            </w:tcBorders>
            <w:tcMar>
              <w:top w:w="80.0" w:type="dxa"/>
              <w:left w:w="80.0" w:type="dxa"/>
              <w:bottom w:w="80.0" w:type="dxa"/>
              <w:right w:w="80.0" w:type="dxa"/>
            </w:tcMar>
            <w:vAlign w:val="top"/>
          </w:tcPr>
          <w:p w:rsidR="00000000" w:rsidDel="00000000" w:rsidP="00000000" w:rsidRDefault="00000000" w:rsidRPr="00000000" w14:paraId="00000016">
            <w:pPr>
              <w:spacing w:after="4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gesture, or act intended to insult modesty of woman (IPC s.509) - the section should be repealed.  The offence of ‘eve-teasing’ can be charged under s.354 of the IPC (s.73).  Remove the terminology ‘modesty of women’ from the IPC.9 </w:t>
            </w:r>
          </w:p>
        </w:tc>
        <w:tc>
          <w:tcPr>
            <w:tcBorders>
              <w:top w:color="000000" w:space="0" w:sz="0" w:val="nil"/>
              <w:left w:color="000000" w:space="0" w:sz="0" w:val="nil"/>
              <w:bottom w:color="000000" w:space="0" w:sz="6" w:val="dotted"/>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7">
            <w:pPr>
              <w:spacing w:after="4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Original provision retained in Clause 79.</w:t>
            </w:r>
          </w:p>
        </w:tc>
      </w:tr>
      <w:tr>
        <w:trPr>
          <w:cantSplit w:val="0"/>
          <w:trHeight w:val="1185" w:hRule="atLeast"/>
          <w:tblHeader w:val="0"/>
        </w:trPr>
        <w:tc>
          <w:tcPr>
            <w:tcBorders>
              <w:top w:color="000000" w:space="0" w:sz="0" w:val="nil"/>
              <w:left w:color="000000" w:space="0" w:sz="0" w:val="nil"/>
              <w:bottom w:color="000000" w:space="0" w:sz="6" w:val="dotted"/>
              <w:right w:color="000000" w:space="0" w:sz="6" w:val="dotted"/>
            </w:tcBorders>
            <w:tcMar>
              <w:top w:w="80.0" w:type="dxa"/>
              <w:left w:w="80.0" w:type="dxa"/>
              <w:bottom w:w="80.0" w:type="dxa"/>
              <w:right w:w="80.0" w:type="dxa"/>
            </w:tcMar>
            <w:vAlign w:val="top"/>
          </w:tcPr>
          <w:p w:rsidR="00000000" w:rsidDel="00000000" w:rsidP="00000000" w:rsidRDefault="00000000" w:rsidRPr="00000000" w14:paraId="00000018">
            <w:pPr>
              <w:spacing w:after="4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Assault or use of criminal force on woman with intent to disrobe (IPC s.354B) - penalty should be increased to imprisonment for at least five years up to 10 years.</w:t>
            </w:r>
            <w:hyperlink r:id="rId6">
              <w:r w:rsidDel="00000000" w:rsidR="00000000" w:rsidRPr="00000000">
                <w:rPr>
                  <w:rFonts w:ascii="Times New Roman" w:cs="Times New Roman" w:eastAsia="Times New Roman" w:hAnsi="Times New Roman"/>
                  <w:sz w:val="24"/>
                  <w:szCs w:val="24"/>
                  <w:rtl w:val="0"/>
                </w:rPr>
                <w:t xml:space="preserve">[19]</w:t>
              </w:r>
            </w:hyperlink>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9">
            <w:pPr>
              <w:spacing w:after="4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Penalty is imprisonment for at least three years up to seven years (Clause 76).</w:t>
            </w:r>
          </w:p>
        </w:tc>
      </w:tr>
      <w:tr>
        <w:trPr>
          <w:cantSplit w:val="0"/>
          <w:trHeight w:val="2355" w:hRule="atLeast"/>
          <w:tblHeader w:val="0"/>
        </w:trPr>
        <w:tc>
          <w:tcPr>
            <w:tcBorders>
              <w:top w:color="000000" w:space="0" w:sz="0" w:val="nil"/>
              <w:left w:color="000000" w:space="0" w:sz="0" w:val="nil"/>
              <w:bottom w:color="000000" w:space="0" w:sz="6" w:val="single"/>
              <w:right w:color="000000" w:space="0" w:sz="6" w:val="dotted"/>
            </w:tcBorders>
            <w:tcMar>
              <w:top w:w="80.0" w:type="dxa"/>
              <w:left w:w="80.0" w:type="dxa"/>
              <w:bottom w:w="80.0" w:type="dxa"/>
              <w:right w:w="80.0" w:type="dxa"/>
            </w:tcMar>
            <w:vAlign w:val="top"/>
          </w:tcPr>
          <w:p w:rsidR="00000000" w:rsidDel="00000000" w:rsidP="00000000" w:rsidRDefault="00000000" w:rsidRPr="00000000" w14:paraId="0000001A">
            <w:pPr>
              <w:spacing w:after="4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Adultery (IPC s.497) – the section violates Articles 14 and 21.  It creates a distinction between men and women based on gender stereotypes, and is arbitrary.  Justice Verma Committee suggested removing Adultery as an offence. The Standing Committee on Home Affairs suggested making Adultery a gender-neutral offence.  </w:t>
            </w:r>
          </w:p>
        </w:tc>
        <w:tc>
          <w:tcPr>
            <w:tcBorders>
              <w:top w:color="000000" w:space="0" w:sz="0" w:val="nil"/>
              <w:left w:color="000000" w:space="0" w:sz="0" w:val="nil"/>
              <w:bottom w:color="000000" w:space="0" w:sz="6" w:val="single"/>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B">
            <w:pPr>
              <w:spacing w:after="4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Adultery has been omitted.  However, BNS2 retains s.498 of the IPC which penalises a man for enticing the wife of another man so that she may have intercourse with any person. </w:t>
            </w:r>
          </w:p>
        </w:tc>
      </w:tr>
    </w:tbl>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8070"/>
        <w:tblGridChange w:id="0">
          <w:tblGrid>
            <w:gridCol w:w="960"/>
            <w:gridCol w:w="8070"/>
          </w:tblGrid>
        </w:tblGridChange>
      </w:tblGrid>
      <w:tr>
        <w:trPr>
          <w:cantSplit w:val="0"/>
          <w:trHeight w:val="795" w:hRule="atLeast"/>
          <w:tblHeader w:val="0"/>
        </w:trPr>
        <w:tc>
          <w:tcPr>
            <w:gridSpan w:val="2"/>
            <w:tcBorders>
              <w:top w:color="000000" w:space="0" w:sz="6" w:val="single"/>
              <w:left w:color="000000" w:space="0" w:sz="0" w:val="nil"/>
              <w:bottom w:color="000000" w:space="0" w:sz="6" w:val="single"/>
              <w:right w:color="000000" w:space="0" w:sz="0" w:val="nil"/>
            </w:tcBorders>
            <w:shd w:fill="f2f2f2" w:val="clear"/>
            <w:tcMar>
              <w:top w:w="80.0" w:type="dxa"/>
              <w:left w:w="80.0" w:type="dxa"/>
              <w:bottom w:w="80.0" w:type="dxa"/>
              <w:right w:w="80.0" w:type="dxa"/>
            </w:tcMar>
            <w:vAlign w:val="top"/>
          </w:tcPr>
          <w:p w:rsidR="00000000" w:rsidDel="00000000" w:rsidP="00000000" w:rsidRDefault="00000000" w:rsidRPr="00000000" w14:paraId="00000021">
            <w:pPr>
              <w:spacing w:after="4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offences</w:t>
            </w:r>
          </w:p>
        </w:tc>
      </w:tr>
      <w:tr>
        <w:trPr>
          <w:cantSplit w:val="0"/>
          <w:trHeight w:val="2130" w:hRule="atLeast"/>
          <w:tblHeader w:val="0"/>
        </w:trPr>
        <w:tc>
          <w:tcPr>
            <w:tcBorders>
              <w:top w:color="000000" w:space="0" w:sz="0" w:val="nil"/>
              <w:left w:color="000000" w:space="0" w:sz="0" w:val="nil"/>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IPC section 377</w:t>
            </w:r>
          </w:p>
        </w:tc>
        <w:tc>
          <w:tcPr>
            <w:tcBorders>
              <w:top w:color="000000" w:space="0" w:sz="0" w:val="nil"/>
              <w:left w:color="000000" w:space="0" w:sz="0" w:val="nil"/>
              <w:bottom w:color="000000" w:space="0" w:sz="6" w:val="single"/>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2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Supreme Court read down Sec 377 to exclude consensual sex between adults.  This meant that forced intercourse with an adult male is an offence, so is intercourse with an animal. </w:t>
            </w:r>
          </w:p>
          <w:p w:rsidR="00000000" w:rsidDel="00000000" w:rsidP="00000000" w:rsidRDefault="00000000" w:rsidRPr="00000000" w14:paraId="0000002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BNS2 does not retain section 377.  This implies that rape of an adult man will not be an offence under any law, neither will having intercourse with an animal.  The Standing Committee on Home Affairs (2023) has recommended re-introducing this provision.  </w:t>
            </w:r>
          </w:p>
        </w:tc>
      </w:tr>
    </w:tbl>
    <w:p w:rsidR="00000000" w:rsidDel="00000000" w:rsidP="00000000" w:rsidRDefault="00000000" w:rsidRPr="00000000" w14:paraId="00000026">
      <w:pPr>
        <w:spacing w:after="0" w:line="360" w:lineRule="auto"/>
        <w:ind w:left="0" w:right="16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0" w:line="360" w:lineRule="auto"/>
        <w:ind w:left="0" w:right="16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Suggested Questions</w:t>
      </w:r>
    </w:p>
    <w:p w:rsidR="00000000" w:rsidDel="00000000" w:rsidP="00000000" w:rsidRDefault="00000000" w:rsidRPr="00000000" w14:paraId="00000028">
      <w:pPr>
        <w:spacing w:after="0" w:line="360" w:lineRule="auto"/>
        <w:ind w:left="0" w:right="16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 Minister of Home Affairs and Co-Operation be pleased to state:</w:t>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number of sedition cases filed, prosecuted, resolved and unresolved, and whether the number of sedition cases filed have reduced in the last five years?</w:t>
      </w:r>
    </w:p>
    <w:p w:rsidR="00000000" w:rsidDel="00000000" w:rsidP="00000000" w:rsidRDefault="00000000" w:rsidRPr="00000000" w14:paraId="0000002C">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the Minister provide a clear definition of “Acts endangering the sovereignty, unity and integrity of India” as mentioned in BNS 2,, and ‘seditious activities’ as mentioned in Clauses 150, 195, and 297 of the BNSS 2? </w:t>
      </w:r>
    </w:p>
    <w:p w:rsidR="00000000" w:rsidDel="00000000" w:rsidP="00000000" w:rsidRDefault="00000000" w:rsidRPr="00000000" w14:paraId="0000002D">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hether the new criminal laws are expected to reduce the number of undertrials if so how?</w:t>
      </w:r>
    </w:p>
    <w:p w:rsidR="00000000" w:rsidDel="00000000" w:rsidP="00000000" w:rsidRDefault="00000000" w:rsidRPr="00000000" w14:paraId="0000002E">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cases currently pending in various courts of the country, and the disposal rate of cases over the past 5 years.</w:t>
      </w:r>
    </w:p>
    <w:p w:rsidR="00000000" w:rsidDel="00000000" w:rsidP="00000000" w:rsidRDefault="00000000" w:rsidRPr="00000000" w14:paraId="0000002F">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measures taken under the three new criminal laws to expedite case disposal in the various courts of the country.</w:t>
      </w:r>
    </w:p>
    <w:p w:rsidR="00000000" w:rsidDel="00000000" w:rsidP="00000000" w:rsidRDefault="00000000" w:rsidRPr="00000000" w14:paraId="00000030">
      <w:pPr>
        <w:spacing w:line="360" w:lineRule="auto"/>
        <w:ind w:right="160"/>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ABOUT US</w:t>
      </w:r>
      <w:r w:rsidDel="00000000" w:rsidR="00000000" w:rsidRPr="00000000">
        <w:rPr>
          <w:rFonts w:ascii="Times New Roman" w:cs="Times New Roman" w:eastAsia="Times New Roman" w:hAnsi="Times New Roman"/>
          <w:b w:val="1"/>
          <w:sz w:val="20"/>
          <w:szCs w:val="20"/>
          <w:rtl w:val="0"/>
        </w:rPr>
        <w:br w:type="textWrapping"/>
      </w:r>
      <w:r w:rsidDel="00000000" w:rsidR="00000000" w:rsidRPr="00000000">
        <w:rPr>
          <w:rFonts w:ascii="Times New Roman" w:cs="Times New Roman" w:eastAsia="Times New Roman" w:hAnsi="Times New Roman"/>
          <w:sz w:val="20"/>
          <w:szCs w:val="20"/>
          <w:rtl w:val="0"/>
        </w:rPr>
        <w:t xml:space="preserve">Make Parliament Great Again (#MPGA) is a citizen’s initiative that aims to raise citizen issues with Parliamentarians from across the political spectrum with the objective of reclaiming the Parliament as the House of the People.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sindia.org/billtrack/the-bharatiya-nyaya-second-sanhita-2023#_edn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