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LendWise: SBA Approved Loan Amount Prediction</w:t>
      </w:r>
    </w:p>
    <w:p>
      <w:pPr>
        <w:jc w:val="center"/>
      </w:pPr>
      <w:r>
        <w:rPr>
          <w:i/>
        </w:rPr>
        <w:t>AI Final Project Report</w:t>
      </w:r>
    </w:p>
    <w:p>
      <w:pPr>
        <w:jc w:val="center"/>
      </w:pPr>
      <w:r>
        <w:t>Student: Deepak</w:t>
        <w:br/>
      </w:r>
      <w:r>
        <w:t>Course: CS5100 / CSE 587B Final Project</w:t>
        <w:br/>
      </w:r>
      <w:r>
        <w:t>Date: August 7, 2026</w:t>
        <w:br/>
      </w:r>
      <w:r>
        <w:t>Dataset: SBA National Loan Dataset</w:t>
        <w:br/>
      </w:r>
      <w:r>
        <w:t>Target: GrAppv, the gross approved loan amount</w:t>
      </w:r>
    </w:p>
    <w:p/>
    <w:p>
      <w:pPr>
        <w:jc w:val="center"/>
      </w:pPr>
      <w:r>
        <w:rPr>
          <w:b/>
        </w:rPr>
        <w:t>Best model: LightGBM | RMSE $184,928 | MAE $98,792 | R2 0.572</w:t>
      </w:r>
    </w:p>
    <w:p>
      <w:r>
        <w:br w:type="page"/>
      </w:r>
    </w:p>
    <w:p>
      <w:pPr>
        <w:pStyle w:val="Heading1"/>
      </w:pPr>
      <w:r>
        <w:t>1. Introduction</w:t>
      </w:r>
    </w:p>
    <w:p>
      <w:pPr>
        <w:pStyle w:val="Heading2"/>
      </w:pPr>
      <w:r>
        <w:t>Problem Statement</w:t>
      </w:r>
    </w:p>
    <w:p>
      <w:r>
        <w:t>This project predicts the approved dollar amount for small business loans using the SBA National Loan Dataset. The target variable is GrAppv, the gross amount approved by the lender. The project is a regression task, not a default-risk classification task.</w:t>
      </w:r>
    </w:p>
    <w:p>
      <w:pPr>
        <w:pStyle w:val="Heading2"/>
      </w:pPr>
      <w:r>
        <w:t>Motivation and Goals</w:t>
      </w:r>
    </w:p>
    <w:p>
      <w:r>
        <w:t>Small business lending decisions depend on many signals, including loan term, business size, state, lender location, industry, program flags, and whether the business is new or existing. A model that estimates an expected approved amount can help borrowers set realistic expectations and can help lenders identify applications that may need closer review.</w:t>
      </w:r>
    </w:p>
    <w:p>
      <w:r>
        <w:t>The main goal is to build a clean, reproducible machine learning workflow that predicts approved SBA loan amount and compares several regression models using consistent evaluation metrics.</w:t>
      </w:r>
    </w:p>
    <w:p>
      <w:pPr>
        <w:pStyle w:val="Heading1"/>
      </w:pPr>
      <w:r>
        <w:t>2. Background</w:t>
      </w:r>
    </w:p>
    <w:p>
      <w:r>
        <w:t>The SBA 7(a)-style lending data is useful for predictive analytics because it contains historical lending records across many banks, states, industries, and years. Approved amount is highly skewed: many loans are small or medium sized, while a smaller number of very large loans pull the mean upward. This makes the task harder than a simple linear prediction problem.</w:t>
      </w:r>
    </w:p>
    <w:p>
      <w:r>
        <w:t>The project uses supervised regression. Linear models provide simple baselines, while tree-based ensemble models can learn nonlinear relationships and interactions between features. Boosted tree models such as LightGBM, XGBoost, HistGradientBoosting, and CatBoost are especially useful for tabular data because they handle nonlinear patterns well.</w:t>
      </w:r>
    </w:p>
    <w:p>
      <w:pPr>
        <w:pStyle w:val="Heading1"/>
      </w:pPr>
      <w:r>
        <w:t>3. Methodology</w:t>
      </w:r>
    </w:p>
    <w:p>
      <w:pPr>
        <w:pStyle w:val="Heading2"/>
      </w:pPr>
      <w:r>
        <w:t>Tools and Libraries</w:t>
      </w:r>
    </w:p>
    <w:p>
      <w:pPr>
        <w:pStyle w:val="ListBullet"/>
      </w:pPr>
      <w:r>
        <w:t>Python, Jupyter Notebook, pandas, NumPy, SciPy</w:t>
      </w:r>
    </w:p>
    <w:p>
      <w:pPr>
        <w:pStyle w:val="ListBullet"/>
      </w:pPr>
      <w:r>
        <w:t>scikit-learn for preprocessing, splitting, linear models, Random Forest, Gradient Boosting, PCA, and metrics</w:t>
      </w:r>
    </w:p>
    <w:p>
      <w:pPr>
        <w:pStyle w:val="ListBullet"/>
      </w:pPr>
      <w:r>
        <w:t>LightGBM, XGBoost, and CatBoost for boosted tree regression</w:t>
      </w:r>
    </w:p>
    <w:p>
      <w:pPr>
        <w:pStyle w:val="ListBullet"/>
      </w:pPr>
      <w:r>
        <w:t>TensorFlow/Keras for the neural network model, with GPU support enabled in the project environment</w:t>
      </w:r>
    </w:p>
    <w:p>
      <w:pPr>
        <w:pStyle w:val="ListBullet"/>
      </w:pPr>
      <w:r>
        <w:t>Matplotlib and Seaborn for exploratory analysis and model diagnostics</w:t>
      </w:r>
    </w:p>
    <w:p>
      <w:pPr>
        <w:pStyle w:val="Heading2"/>
      </w:pPr>
      <w:r>
        <w:t>Dataset and Project Scope</w:t>
      </w:r>
    </w:p>
    <w:p>
      <w:r>
        <w:t>The raw SBA file contains 899,164 rows and 27 columns before setting the loan number as the index. After target cleanup, 899,164 usable rows remain because the target field is present and positive for the records used here.</w:t>
      </w:r>
    </w:p>
    <w:p>
      <w:r>
        <w:t>The model intentionally excludes post-approval performance fields and direct leakage fields such as SBA_Appv, DisbursementGross, MIS_Status, ChgOffPrinGr, and charge-off dates. This keeps the project focused on predicting the approved amount from information that would be more reasonable to know near approval time.</w:t>
      </w:r>
    </w:p>
    <w:p>
      <w:pPr>
        <w:jc w:val="center"/>
      </w:pPr>
      <w:r>
        <w:drawing>
          <wp:inline xmlns:a="http://schemas.openxmlformats.org/drawingml/2006/main" xmlns:pic="http://schemas.openxmlformats.org/drawingml/2006/picture">
            <wp:extent cx="5669280" cy="3184937"/>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669280" cy="3184937"/>
                    </a:xfrm>
                    <a:prstGeom prst="rect"/>
                  </pic:spPr>
                </pic:pic>
              </a:graphicData>
            </a:graphic>
          </wp:inline>
        </w:drawing>
      </w:r>
    </w:p>
    <w:p>
      <w:pPr>
        <w:jc w:val="center"/>
      </w:pPr>
      <w:r>
        <w:rPr>
          <w:i/>
          <w:sz w:val="18"/>
        </w:rPr>
        <w:t>Figure 1. Missing-value profile of the SBA dataset.</w:t>
      </w:r>
    </w:p>
    <w:p>
      <w:pPr>
        <w:pStyle w:val="Heading2"/>
      </w:pPr>
      <w:r>
        <w:t>Preprocessing and Feature Engineering</w:t>
      </w:r>
    </w:p>
    <w:p>
      <w:pPr>
        <w:pStyle w:val="ListNumber"/>
      </w:pPr>
      <w:r>
        <w:t>Cleaned currency columns by removing dollar signs, commas, and whitespace before converting them to numeric values.</w:t>
      </w:r>
    </w:p>
    <w:p>
      <w:pPr>
        <w:pStyle w:val="ListNumber"/>
      </w:pPr>
      <w:r>
        <w:t>Converted date fields into datetime values and created approval year, month, quarter, and decade features.</w:t>
      </w:r>
    </w:p>
    <w:p>
      <w:pPr>
        <w:pStyle w:val="ListNumber"/>
      </w:pPr>
      <w:r>
        <w:t>Created term features such as term_years, is_long_term, and is_very_long_term.</w:t>
      </w:r>
    </w:p>
    <w:p>
      <w:pPr>
        <w:pStyle w:val="ListNumber"/>
      </w:pPr>
      <w:r>
        <w:t>Created employment features such as total_jobs_supported, job_creation_ratio, and retained_job_ratio.</w:t>
      </w:r>
    </w:p>
    <w:p>
      <w:pPr>
        <w:pStyle w:val="ListNumber"/>
      </w:pPr>
      <w:r>
        <w:t>Converted NAICS into broad sector and capped 3-digit industry group features.</w:t>
      </w:r>
    </w:p>
    <w:p>
      <w:pPr>
        <w:pStyle w:val="ListNumber"/>
      </w:pPr>
      <w:r>
        <w:t>Created geographic and lender features such as Zip3, same_state_bank, city frequency, zip frequency, bank frequency, top city group, and top bank group.</w:t>
      </w:r>
    </w:p>
    <w:p>
      <w:pPr>
        <w:pStyle w:val="ListNumber"/>
      </w:pPr>
      <w:r>
        <w:t>Filled numeric missing values with medians and categorical missing values with Unknown instead of replacing everything with zero.</w:t>
      </w:r>
    </w:p>
    <w:p>
      <w:pPr>
        <w:pStyle w:val="ListNumber"/>
      </w:pPr>
      <w:r>
        <w:t>One-hot encoded categorical features using compact int8 dummy columns and sanitized feature names for model compatibility.</w:t>
      </w:r>
    </w:p>
    <w:p>
      <w:r>
        <w:t>The final modeling table uses 19 numeric features and 14 categorical features before encoding. After one-hot encoding, the model input contains 381 features.</w:t>
      </w:r>
    </w:p>
    <w:p>
      <w:pPr>
        <w:jc w:val="center"/>
      </w:pPr>
      <w:r>
        <w:drawing>
          <wp:inline xmlns:a="http://schemas.openxmlformats.org/drawingml/2006/main" xmlns:pic="http://schemas.openxmlformats.org/drawingml/2006/picture">
            <wp:extent cx="5669280" cy="3179767"/>
            <wp:docPr id="2" name="Picture 2"/>
            <wp:cNvGraphicFramePr>
              <a:graphicFrameLocks noChangeAspect="1"/>
            </wp:cNvGraphicFramePr>
            <a:graphic>
              <a:graphicData uri="http://schemas.openxmlformats.org/drawingml/2006/picture">
                <pic:pic>
                  <pic:nvPicPr>
                    <pic:cNvPr id="0" name="approved_amount_distribution.png"/>
                    <pic:cNvPicPr/>
                  </pic:nvPicPr>
                  <pic:blipFill>
                    <a:blip r:embed="rId10"/>
                    <a:stretch>
                      <a:fillRect/>
                    </a:stretch>
                  </pic:blipFill>
                  <pic:spPr>
                    <a:xfrm>
                      <a:off x="0" y="0"/>
                      <a:ext cx="5669280" cy="3179767"/>
                    </a:xfrm>
                    <a:prstGeom prst="rect"/>
                  </pic:spPr>
                </pic:pic>
              </a:graphicData>
            </a:graphic>
          </wp:inline>
        </w:drawing>
      </w:r>
    </w:p>
    <w:p>
      <w:pPr>
        <w:jc w:val="center"/>
      </w:pPr>
      <w:r>
        <w:rPr>
          <w:i/>
          <w:sz w:val="18"/>
        </w:rPr>
        <w:t>Figure 2. Approved loan amount distribution.</w:t>
      </w:r>
    </w:p>
    <w:p>
      <w:pPr>
        <w:jc w:val="center"/>
      </w:pPr>
      <w:r>
        <w:drawing>
          <wp:inline xmlns:a="http://schemas.openxmlformats.org/drawingml/2006/main" xmlns:pic="http://schemas.openxmlformats.org/drawingml/2006/picture">
            <wp:extent cx="5669280" cy="3179767"/>
            <wp:docPr id="3" name="Picture 3"/>
            <wp:cNvGraphicFramePr>
              <a:graphicFrameLocks noChangeAspect="1"/>
            </wp:cNvGraphicFramePr>
            <a:graphic>
              <a:graphicData uri="http://schemas.openxmlformats.org/drawingml/2006/picture">
                <pic:pic>
                  <pic:nvPicPr>
                    <pic:cNvPr id="0" name="term_vs_amount.png"/>
                    <pic:cNvPicPr/>
                  </pic:nvPicPr>
                  <pic:blipFill>
                    <a:blip r:embed="rId11"/>
                    <a:stretch>
                      <a:fillRect/>
                    </a:stretch>
                  </pic:blipFill>
                  <pic:spPr>
                    <a:xfrm>
                      <a:off x="0" y="0"/>
                      <a:ext cx="5669280" cy="3179767"/>
                    </a:xfrm>
                    <a:prstGeom prst="rect"/>
                  </pic:spPr>
                </pic:pic>
              </a:graphicData>
            </a:graphic>
          </wp:inline>
        </w:drawing>
      </w:r>
    </w:p>
    <w:p>
      <w:pPr>
        <w:jc w:val="center"/>
      </w:pPr>
      <w:r>
        <w:rPr>
          <w:i/>
          <w:sz w:val="18"/>
        </w:rPr>
        <w:t>Figure 3. Loan term versus approved amount on a log dollar scale.</w:t>
      </w:r>
    </w:p>
    <w:p>
      <w:pPr>
        <w:pStyle w:val="Heading2"/>
      </w:pPr>
      <w:r>
        <w:t>Training and Evaluation Design</w:t>
      </w:r>
    </w:p>
    <w:p>
      <w:r>
        <w:t>The dataset was split into 575,464 training rows, 143,867 validation rows, and 179,833 test rows. Models are compared on the same test set using MAE, RMSE, R2, and RMSLE.</w:t>
      </w:r>
    </w:p>
    <w:p>
      <w:pPr>
        <w:pStyle w:val="ListBullet"/>
      </w:pPr>
      <w:r>
        <w:t>MAE shows the average dollar error and is easy to interpret.</w:t>
      </w:r>
    </w:p>
    <w:p>
      <w:pPr>
        <w:pStyle w:val="ListBullet"/>
      </w:pPr>
      <w:r>
        <w:t>RMSE penalizes large mistakes more strongly, which matters for very large loans.</w:t>
      </w:r>
    </w:p>
    <w:p>
      <w:pPr>
        <w:pStyle w:val="ListBullet"/>
      </w:pPr>
      <w:r>
        <w:t>R2 measures explained variance relative to a simple mean-based prediction.</w:t>
      </w:r>
    </w:p>
    <w:p>
      <w:pPr>
        <w:pStyle w:val="ListBullet"/>
      </w:pPr>
      <w:r>
        <w:t>RMSLE measures relative error and is useful when loan amounts span several orders of magnitude.</w:t>
      </w:r>
    </w:p>
    <w:p>
      <w:pPr>
        <w:pStyle w:val="Heading1"/>
      </w:pPr>
      <w:r>
        <w:t>4. Implementation</w:t>
      </w:r>
    </w:p>
    <w:p>
      <w:r>
        <w:t>The implementation is contained in src/LendWise.ipynb. The notebook downloads the SBA dataset when missing, cleans the raw data, performs exploratory analysis, builds the modeling table, trains the models, and generates evaluation plots.</w:t>
      </w:r>
    </w:p>
    <w:p>
      <w:r>
        <w:t>The final model list is: Linear Regression, Ridge Regression, PCA + Linear Regression, Gradient Boosting, Random Forest, HistGradientBoosting, LightGBM, XGBoost, CatBoost, and Neural Network.</w:t>
      </w:r>
    </w:p>
    <w:p>
      <w:r>
        <w:t>The neural network cell now checks for TensorFlow GPU availability and enables memory growth when a GPU is found. In the final run, TensorFlow detected the NVIDIA GeForce RTX 4060 Laptop GPU.</w:t>
      </w:r>
    </w:p>
    <w:p>
      <w:pPr>
        <w:pStyle w:val="Heading1"/>
      </w:pPr>
      <w:r>
        <w:t>5. Results and Evaluation</w:t>
      </w:r>
    </w:p>
    <w:p>
      <w:r>
        <w:t>The best model is LightGBM, with RMSE $184,928, MAE $98,792, R2 0.572, and RMSLE 0.951. The top models are close to each other, which suggests that the strongest signal comes from the engineered SBA features and that boosted/tree-based methods are a good fit for this dataset.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D3"/>
          </w:tcPr>
          <w:p>
            <w:r/>
            <w:r>
              <w:rPr>
                <w:b/>
                <w:sz w:val="18"/>
              </w:rPr>
              <w:t>Rank</w:t>
            </w:r>
          </w:p>
        </w:tc>
        <w:tc>
          <w:tcPr>
            <w:tcW w:type="dxa" w:w="1680"/>
            <w:vAlign w:val="center"/>
            <w:shd w:fill="D9EAD3"/>
          </w:tcPr>
          <w:p>
            <w:r/>
            <w:r>
              <w:rPr>
                <w:b/>
                <w:sz w:val="18"/>
              </w:rPr>
              <w:t>Model</w:t>
            </w:r>
          </w:p>
        </w:tc>
        <w:tc>
          <w:tcPr>
            <w:tcW w:type="dxa" w:w="1680"/>
            <w:vAlign w:val="center"/>
            <w:shd w:fill="D9EAD3"/>
          </w:tcPr>
          <w:p>
            <w:r/>
            <w:r>
              <w:rPr>
                <w:b/>
                <w:sz w:val="18"/>
              </w:rPr>
              <w:t>MAE</w:t>
            </w:r>
          </w:p>
        </w:tc>
        <w:tc>
          <w:tcPr>
            <w:tcW w:type="dxa" w:w="1680"/>
            <w:vAlign w:val="center"/>
            <w:shd w:fill="D9EAD3"/>
          </w:tcPr>
          <w:p>
            <w:r/>
            <w:r>
              <w:rPr>
                <w:b/>
                <w:sz w:val="18"/>
              </w:rPr>
              <w:t>RMSE</w:t>
            </w:r>
          </w:p>
        </w:tc>
        <w:tc>
          <w:tcPr>
            <w:tcW w:type="dxa" w:w="1680"/>
            <w:vAlign w:val="center"/>
            <w:shd w:fill="D9EAD3"/>
          </w:tcPr>
          <w:p>
            <w:r/>
            <w:r>
              <w:rPr>
                <w:b/>
                <w:sz w:val="18"/>
              </w:rPr>
              <w:t>R2</w:t>
            </w:r>
          </w:p>
        </w:tc>
        <w:tc>
          <w:tcPr>
            <w:tcW w:type="dxa" w:w="1680"/>
            <w:vAlign w:val="center"/>
            <w:shd w:fill="D9EAD3"/>
          </w:tcPr>
          <w:p>
            <w:r/>
            <w:r>
              <w:rPr>
                <w:b/>
                <w:sz w:val="18"/>
              </w:rPr>
              <w:t>RMSLE</w:t>
            </w:r>
          </w:p>
        </w:tc>
      </w:tr>
      <w:tr>
        <w:tc>
          <w:tcPr>
            <w:tcW w:type="dxa" w:w="1680"/>
            <w:vAlign w:val="center"/>
          </w:tcPr>
          <w:p>
            <w:r/>
            <w:r>
              <w:rPr>
                <w:b w:val="0"/>
                <w:sz w:val="18"/>
              </w:rPr>
              <w:t>1</w:t>
            </w:r>
          </w:p>
        </w:tc>
        <w:tc>
          <w:tcPr>
            <w:tcW w:type="dxa" w:w="1680"/>
            <w:vAlign w:val="center"/>
          </w:tcPr>
          <w:p>
            <w:r/>
            <w:r>
              <w:rPr>
                <w:b w:val="0"/>
                <w:sz w:val="18"/>
              </w:rPr>
              <w:t>LightGBM</w:t>
            </w:r>
          </w:p>
        </w:tc>
        <w:tc>
          <w:tcPr>
            <w:tcW w:type="dxa" w:w="1680"/>
            <w:vAlign w:val="center"/>
          </w:tcPr>
          <w:p>
            <w:r/>
            <w:r>
              <w:rPr>
                <w:b w:val="0"/>
                <w:sz w:val="18"/>
              </w:rPr>
              <w:t>$98,792</w:t>
            </w:r>
          </w:p>
        </w:tc>
        <w:tc>
          <w:tcPr>
            <w:tcW w:type="dxa" w:w="1680"/>
            <w:vAlign w:val="center"/>
          </w:tcPr>
          <w:p>
            <w:r/>
            <w:r>
              <w:rPr>
                <w:b w:val="0"/>
                <w:sz w:val="18"/>
              </w:rPr>
              <w:t>$184,928</w:t>
            </w:r>
          </w:p>
        </w:tc>
        <w:tc>
          <w:tcPr>
            <w:tcW w:type="dxa" w:w="1680"/>
            <w:vAlign w:val="center"/>
          </w:tcPr>
          <w:p>
            <w:r/>
            <w:r>
              <w:rPr>
                <w:b w:val="0"/>
                <w:sz w:val="18"/>
              </w:rPr>
              <w:t>0.572</w:t>
            </w:r>
          </w:p>
        </w:tc>
        <w:tc>
          <w:tcPr>
            <w:tcW w:type="dxa" w:w="1680"/>
            <w:vAlign w:val="center"/>
          </w:tcPr>
          <w:p>
            <w:r/>
            <w:r>
              <w:rPr>
                <w:b w:val="0"/>
                <w:sz w:val="18"/>
              </w:rPr>
              <w:t>0.951</w:t>
            </w:r>
          </w:p>
        </w:tc>
      </w:tr>
      <w:tr>
        <w:tc>
          <w:tcPr>
            <w:tcW w:type="dxa" w:w="1680"/>
            <w:vAlign w:val="center"/>
          </w:tcPr>
          <w:p>
            <w:r/>
            <w:r>
              <w:rPr>
                <w:b w:val="0"/>
                <w:sz w:val="18"/>
              </w:rPr>
              <w:t>2</w:t>
            </w:r>
          </w:p>
        </w:tc>
        <w:tc>
          <w:tcPr>
            <w:tcW w:type="dxa" w:w="1680"/>
            <w:vAlign w:val="center"/>
          </w:tcPr>
          <w:p>
            <w:r/>
            <w:r>
              <w:rPr>
                <w:b w:val="0"/>
                <w:sz w:val="18"/>
              </w:rPr>
              <w:t>XGBoost</w:t>
            </w:r>
          </w:p>
        </w:tc>
        <w:tc>
          <w:tcPr>
            <w:tcW w:type="dxa" w:w="1680"/>
            <w:vAlign w:val="center"/>
          </w:tcPr>
          <w:p>
            <w:r/>
            <w:r>
              <w:rPr>
                <w:b w:val="0"/>
                <w:sz w:val="18"/>
              </w:rPr>
              <w:t>$99,469</w:t>
            </w:r>
          </w:p>
        </w:tc>
        <w:tc>
          <w:tcPr>
            <w:tcW w:type="dxa" w:w="1680"/>
            <w:vAlign w:val="center"/>
          </w:tcPr>
          <w:p>
            <w:r/>
            <w:r>
              <w:rPr>
                <w:b w:val="0"/>
                <w:sz w:val="18"/>
              </w:rPr>
              <w:t>$186,165</w:t>
            </w:r>
          </w:p>
        </w:tc>
        <w:tc>
          <w:tcPr>
            <w:tcW w:type="dxa" w:w="1680"/>
            <w:vAlign w:val="center"/>
          </w:tcPr>
          <w:p>
            <w:r/>
            <w:r>
              <w:rPr>
                <w:b w:val="0"/>
                <w:sz w:val="18"/>
              </w:rPr>
              <w:t>0.566</w:t>
            </w:r>
          </w:p>
        </w:tc>
        <w:tc>
          <w:tcPr>
            <w:tcW w:type="dxa" w:w="1680"/>
            <w:vAlign w:val="center"/>
          </w:tcPr>
          <w:p>
            <w:r/>
            <w:r>
              <w:rPr>
                <w:b w:val="0"/>
                <w:sz w:val="18"/>
              </w:rPr>
              <w:t>0.869</w:t>
            </w:r>
          </w:p>
        </w:tc>
      </w:tr>
      <w:tr>
        <w:tc>
          <w:tcPr>
            <w:tcW w:type="dxa" w:w="1680"/>
            <w:vAlign w:val="center"/>
          </w:tcPr>
          <w:p>
            <w:r/>
            <w:r>
              <w:rPr>
                <w:b w:val="0"/>
                <w:sz w:val="18"/>
              </w:rPr>
              <w:t>3</w:t>
            </w:r>
          </w:p>
        </w:tc>
        <w:tc>
          <w:tcPr>
            <w:tcW w:type="dxa" w:w="1680"/>
            <w:vAlign w:val="center"/>
          </w:tcPr>
          <w:p>
            <w:r/>
            <w:r>
              <w:rPr>
                <w:b w:val="0"/>
                <w:sz w:val="18"/>
              </w:rPr>
              <w:t>HistGradientBoosting</w:t>
            </w:r>
          </w:p>
        </w:tc>
        <w:tc>
          <w:tcPr>
            <w:tcW w:type="dxa" w:w="1680"/>
            <w:vAlign w:val="center"/>
          </w:tcPr>
          <w:p>
            <w:r/>
            <w:r>
              <w:rPr>
                <w:b w:val="0"/>
                <w:sz w:val="18"/>
              </w:rPr>
              <w:t>$99,842</w:t>
            </w:r>
          </w:p>
        </w:tc>
        <w:tc>
          <w:tcPr>
            <w:tcW w:type="dxa" w:w="1680"/>
            <w:vAlign w:val="center"/>
          </w:tcPr>
          <w:p>
            <w:r/>
            <w:r>
              <w:rPr>
                <w:b w:val="0"/>
                <w:sz w:val="18"/>
              </w:rPr>
              <w:t>$186,498</w:t>
            </w:r>
          </w:p>
        </w:tc>
        <w:tc>
          <w:tcPr>
            <w:tcW w:type="dxa" w:w="1680"/>
            <w:vAlign w:val="center"/>
          </w:tcPr>
          <w:p>
            <w:r/>
            <w:r>
              <w:rPr>
                <w:b w:val="0"/>
                <w:sz w:val="18"/>
              </w:rPr>
              <w:t>0.565</w:t>
            </w:r>
          </w:p>
        </w:tc>
        <w:tc>
          <w:tcPr>
            <w:tcW w:type="dxa" w:w="1680"/>
            <w:vAlign w:val="center"/>
          </w:tcPr>
          <w:p>
            <w:r/>
            <w:r>
              <w:rPr>
                <w:b w:val="0"/>
                <w:sz w:val="18"/>
              </w:rPr>
              <w:t>0.946</w:t>
            </w:r>
          </w:p>
        </w:tc>
      </w:tr>
      <w:tr>
        <w:tc>
          <w:tcPr>
            <w:tcW w:type="dxa" w:w="1680"/>
            <w:vAlign w:val="center"/>
          </w:tcPr>
          <w:p>
            <w:r/>
            <w:r>
              <w:rPr>
                <w:b w:val="0"/>
                <w:sz w:val="18"/>
              </w:rPr>
              <w:t>4</w:t>
            </w:r>
          </w:p>
        </w:tc>
        <w:tc>
          <w:tcPr>
            <w:tcW w:type="dxa" w:w="1680"/>
            <w:vAlign w:val="center"/>
          </w:tcPr>
          <w:p>
            <w:r/>
            <w:r>
              <w:rPr>
                <w:b w:val="0"/>
                <w:sz w:val="18"/>
              </w:rPr>
              <w:t>Random Forest</w:t>
            </w:r>
          </w:p>
        </w:tc>
        <w:tc>
          <w:tcPr>
            <w:tcW w:type="dxa" w:w="1680"/>
            <w:vAlign w:val="center"/>
          </w:tcPr>
          <w:p>
            <w:r/>
            <w:r>
              <w:rPr>
                <w:b w:val="0"/>
                <w:sz w:val="18"/>
              </w:rPr>
              <w:t>$98,301</w:t>
            </w:r>
          </w:p>
        </w:tc>
        <w:tc>
          <w:tcPr>
            <w:tcW w:type="dxa" w:w="1680"/>
            <w:vAlign w:val="center"/>
          </w:tcPr>
          <w:p>
            <w:r/>
            <w:r>
              <w:rPr>
                <w:b w:val="0"/>
                <w:sz w:val="18"/>
              </w:rPr>
              <w:t>$186,855</w:t>
            </w:r>
          </w:p>
        </w:tc>
        <w:tc>
          <w:tcPr>
            <w:tcW w:type="dxa" w:w="1680"/>
            <w:vAlign w:val="center"/>
          </w:tcPr>
          <w:p>
            <w:r/>
            <w:r>
              <w:rPr>
                <w:b w:val="0"/>
                <w:sz w:val="18"/>
              </w:rPr>
              <w:t>0.563</w:t>
            </w:r>
          </w:p>
        </w:tc>
        <w:tc>
          <w:tcPr>
            <w:tcW w:type="dxa" w:w="1680"/>
            <w:vAlign w:val="center"/>
          </w:tcPr>
          <w:p>
            <w:r/>
            <w:r>
              <w:rPr>
                <w:b w:val="0"/>
                <w:sz w:val="18"/>
              </w:rPr>
              <w:t>0.788</w:t>
            </w:r>
          </w:p>
        </w:tc>
      </w:tr>
      <w:tr>
        <w:tc>
          <w:tcPr>
            <w:tcW w:type="dxa" w:w="1680"/>
            <w:vAlign w:val="center"/>
          </w:tcPr>
          <w:p>
            <w:r/>
            <w:r>
              <w:rPr>
                <w:b w:val="0"/>
                <w:sz w:val="18"/>
              </w:rPr>
              <w:t>5</w:t>
            </w:r>
          </w:p>
        </w:tc>
        <w:tc>
          <w:tcPr>
            <w:tcW w:type="dxa" w:w="1680"/>
            <w:vAlign w:val="center"/>
          </w:tcPr>
          <w:p>
            <w:r/>
            <w:r>
              <w:rPr>
                <w:b w:val="0"/>
                <w:sz w:val="18"/>
              </w:rPr>
              <w:t>CatBoost</w:t>
            </w:r>
          </w:p>
        </w:tc>
        <w:tc>
          <w:tcPr>
            <w:tcW w:type="dxa" w:w="1680"/>
            <w:vAlign w:val="center"/>
          </w:tcPr>
          <w:p>
            <w:r/>
            <w:r>
              <w:rPr>
                <w:b w:val="0"/>
                <w:sz w:val="18"/>
              </w:rPr>
              <w:t>$102,672</w:t>
            </w:r>
          </w:p>
        </w:tc>
        <w:tc>
          <w:tcPr>
            <w:tcW w:type="dxa" w:w="1680"/>
            <w:vAlign w:val="center"/>
          </w:tcPr>
          <w:p>
            <w:r/>
            <w:r>
              <w:rPr>
                <w:b w:val="0"/>
                <w:sz w:val="18"/>
              </w:rPr>
              <w:t>$190,672</w:t>
            </w:r>
          </w:p>
        </w:tc>
        <w:tc>
          <w:tcPr>
            <w:tcW w:type="dxa" w:w="1680"/>
            <w:vAlign w:val="center"/>
          </w:tcPr>
          <w:p>
            <w:r/>
            <w:r>
              <w:rPr>
                <w:b w:val="0"/>
                <w:sz w:val="18"/>
              </w:rPr>
              <w:t>0.545</w:t>
            </w:r>
          </w:p>
        </w:tc>
        <w:tc>
          <w:tcPr>
            <w:tcW w:type="dxa" w:w="1680"/>
            <w:vAlign w:val="center"/>
          </w:tcPr>
          <w:p>
            <w:r/>
            <w:r>
              <w:rPr>
                <w:b w:val="0"/>
                <w:sz w:val="18"/>
              </w:rPr>
              <w:t>0.956</w:t>
            </w:r>
          </w:p>
        </w:tc>
      </w:tr>
    </w:tbl>
    <w:p/>
    <w:p>
      <w:pPr>
        <w:jc w:val="center"/>
      </w:pPr>
      <w:r>
        <w:drawing>
          <wp:inline xmlns:a="http://schemas.openxmlformats.org/drawingml/2006/main" xmlns:pic="http://schemas.openxmlformats.org/drawingml/2006/picture">
            <wp:extent cx="5669280" cy="3464560"/>
            <wp:docPr id="4" name="Picture 4"/>
            <wp:cNvGraphicFramePr>
              <a:graphicFrameLocks noChangeAspect="1"/>
            </wp:cNvGraphicFramePr>
            <a:graphic>
              <a:graphicData uri="http://schemas.openxmlformats.org/drawingml/2006/picture">
                <pic:pic>
                  <pic:nvPicPr>
                    <pic:cNvPr id="0" name="model_rmse.png"/>
                    <pic:cNvPicPr/>
                  </pic:nvPicPr>
                  <pic:blipFill>
                    <a:blip r:embed="rId12"/>
                    <a:stretch>
                      <a:fillRect/>
                    </a:stretch>
                  </pic:blipFill>
                  <pic:spPr>
                    <a:xfrm>
                      <a:off x="0" y="0"/>
                      <a:ext cx="5669280" cy="3464560"/>
                    </a:xfrm>
                    <a:prstGeom prst="rect"/>
                  </pic:spPr>
                </pic:pic>
              </a:graphicData>
            </a:graphic>
          </wp:inline>
        </w:drawing>
      </w:r>
    </w:p>
    <w:p>
      <w:pPr>
        <w:jc w:val="center"/>
      </w:pPr>
      <w:r>
        <w:rPr>
          <w:i/>
          <w:sz w:val="18"/>
        </w:rPr>
        <w:t>Figure 4. Test RMSE by model. Lower is better.</w:t>
      </w:r>
    </w:p>
    <w:p>
      <w:pPr>
        <w:jc w:val="center"/>
      </w:pPr>
      <w:r>
        <w:drawing>
          <wp:inline xmlns:a="http://schemas.openxmlformats.org/drawingml/2006/main" xmlns:pic="http://schemas.openxmlformats.org/drawingml/2006/picture">
            <wp:extent cx="5852160" cy="3889446"/>
            <wp:docPr id="5" name="Picture 5"/>
            <wp:cNvGraphicFramePr>
              <a:graphicFrameLocks noChangeAspect="1"/>
            </wp:cNvGraphicFramePr>
            <a:graphic>
              <a:graphicData uri="http://schemas.openxmlformats.org/drawingml/2006/picture">
                <pic:pic>
                  <pic:nvPicPr>
                    <pic:cNvPr id="0" name="model_metrics_grid.png"/>
                    <pic:cNvPicPr/>
                  </pic:nvPicPr>
                  <pic:blipFill>
                    <a:blip r:embed="rId13"/>
                    <a:stretch>
                      <a:fillRect/>
                    </a:stretch>
                  </pic:blipFill>
                  <pic:spPr>
                    <a:xfrm>
                      <a:off x="0" y="0"/>
                      <a:ext cx="5852160" cy="3889446"/>
                    </a:xfrm>
                    <a:prstGeom prst="rect"/>
                  </pic:spPr>
                </pic:pic>
              </a:graphicData>
            </a:graphic>
          </wp:inline>
        </w:drawing>
      </w:r>
    </w:p>
    <w:p>
      <w:pPr>
        <w:jc w:val="center"/>
      </w:pPr>
      <w:r>
        <w:rPr>
          <w:i/>
          <w:sz w:val="18"/>
        </w:rPr>
        <w:t>Figure 5. Model comparison across RMSE, MAE, RMSLE, and R2.</w:t>
      </w:r>
    </w:p>
    <w:p>
      <w:pPr>
        <w:jc w:val="center"/>
      </w:pPr>
      <w:r>
        <w:drawing>
          <wp:inline xmlns:a="http://schemas.openxmlformats.org/drawingml/2006/main" xmlns:pic="http://schemas.openxmlformats.org/drawingml/2006/picture">
            <wp:extent cx="5852160" cy="6502764"/>
            <wp:docPr id="6" name="Picture 6"/>
            <wp:cNvGraphicFramePr>
              <a:graphicFrameLocks noChangeAspect="1"/>
            </wp:cNvGraphicFramePr>
            <a:graphic>
              <a:graphicData uri="http://schemas.openxmlformats.org/drawingml/2006/picture">
                <pic:pic>
                  <pic:nvPicPr>
                    <pic:cNvPr id="0" name="predicted_vs_actual_grid.png"/>
                    <pic:cNvPicPr/>
                  </pic:nvPicPr>
                  <pic:blipFill>
                    <a:blip r:embed="rId14"/>
                    <a:stretch>
                      <a:fillRect/>
                    </a:stretch>
                  </pic:blipFill>
                  <pic:spPr>
                    <a:xfrm>
                      <a:off x="0" y="0"/>
                      <a:ext cx="5852160" cy="6502764"/>
                    </a:xfrm>
                    <a:prstGeom prst="rect"/>
                  </pic:spPr>
                </pic:pic>
              </a:graphicData>
            </a:graphic>
          </wp:inline>
        </w:drawing>
      </w:r>
    </w:p>
    <w:p>
      <w:pPr>
        <w:jc w:val="center"/>
      </w:pPr>
      <w:r>
        <w:rPr>
          <w:i/>
          <w:sz w:val="18"/>
        </w:rPr>
        <w:t>Figure 6. Predicted versus actual approved amount. Axes start at $1K and use a log scale.</w:t>
      </w:r>
    </w:p>
    <w:p>
      <w:pPr>
        <w:pStyle w:val="Heading2"/>
      </w:pPr>
      <w:r>
        <w:t>Model Performance Interpretation</w:t>
      </w:r>
    </w:p>
    <w:p>
      <w:r>
        <w:t>The model is performing moderately well, not perfectly. The boosted and tree-based models capture the overall upward relationship between actual and predicted approved amount. However, the scatter plots show regression toward the middle: small loans are often over-predicted and very large loans are often under-predicted.</w:t>
      </w:r>
    </w:p>
    <w:p>
      <w:r>
        <w:t>This pattern is expected because the dataset does not include some major real-world approval drivers, such as requested loan amount, borrower revenue, collateral, credit profile, debt-service capacity, or lender-specific underwriting rules. The model is useful for estimating broad approval ranges, but it should not be presented as a precise production loan-pricing system.</w:t>
      </w:r>
    </w:p>
    <w:p>
      <w:pPr>
        <w:pStyle w:val="Heading1"/>
      </w:pPr>
      <w:r>
        <w:t>6. Discussion</w:t>
      </w:r>
    </w:p>
    <w:p>
      <w:pPr>
        <w:pStyle w:val="Heading2"/>
      </w:pPr>
      <w:r>
        <w:t>Limitations</w:t>
      </w:r>
    </w:p>
    <w:p>
      <w:pPr>
        <w:pStyle w:val="ListBullet"/>
      </w:pPr>
      <w:r>
        <w:t>The target is highly skewed, so large loans have a strong effect on RMSE.</w:t>
      </w:r>
    </w:p>
    <w:p>
      <w:pPr>
        <w:pStyle w:val="ListBullet"/>
      </w:pPr>
      <w:r>
        <w:t>Important borrower-level underwriting variables are missing from the dataset.</w:t>
      </w:r>
    </w:p>
    <w:p>
      <w:pPr>
        <w:pStyle w:val="ListBullet"/>
      </w:pPr>
      <w:r>
        <w:t>Some SBA columns are historical administrative fields rather than direct application features.</w:t>
      </w:r>
    </w:p>
    <w:p>
      <w:pPr>
        <w:pStyle w:val="ListBullet"/>
      </w:pPr>
      <w:r>
        <w:t>A random split may slightly overstate real-world performance compared with a time-based split.</w:t>
      </w:r>
    </w:p>
    <w:p>
      <w:pPr>
        <w:pStyle w:val="ListBullet"/>
      </w:pPr>
      <w:r>
        <w:t>Predictions are less reliable at the smallest and largest ends of the loan amount range.</w:t>
      </w:r>
    </w:p>
    <w:p>
      <w:pPr>
        <w:pStyle w:val="Heading2"/>
      </w:pPr>
      <w:r>
        <w:t>Potential Improvements</w:t>
      </w:r>
    </w:p>
    <w:p>
      <w:pPr>
        <w:pStyle w:val="ListBullet"/>
      </w:pPr>
      <w:r>
        <w:t>Tune the top three models, especially LightGBM, XGBoost, and HistGradientBoosting.</w:t>
      </w:r>
    </w:p>
    <w:p>
      <w:pPr>
        <w:pStyle w:val="ListBullet"/>
      </w:pPr>
      <w:r>
        <w:t>Try time-based validation by training on older approvals and testing on newer approvals.</w:t>
      </w:r>
    </w:p>
    <w:p>
      <w:pPr>
        <w:pStyle w:val="ListBullet"/>
      </w:pPr>
      <w:r>
        <w:t>Add richer target-segment analysis for small, medium, and large loans.</w:t>
      </w:r>
    </w:p>
    <w:p>
      <w:pPr>
        <w:pStyle w:val="ListBullet"/>
      </w:pPr>
      <w:r>
        <w:t>Use native categorical handling in CatBoost and LightGBM instead of only one-hot encoding.</w:t>
      </w:r>
    </w:p>
    <w:p>
      <w:pPr>
        <w:pStyle w:val="ListBullet"/>
      </w:pPr>
      <w:r>
        <w:t>Save trained models and build a small prediction interface for demonstration.</w:t>
      </w:r>
    </w:p>
    <w:p>
      <w:pPr>
        <w:pStyle w:val="Heading1"/>
      </w:pPr>
      <w:r>
        <w:t>7. Demonstration and Setup Instructions</w:t>
      </w:r>
    </w:p>
    <w:p>
      <w:r>
        <w:t>To reproduce the project:</w:t>
      </w:r>
    </w:p>
    <w:p>
      <w:pPr>
        <w:pStyle w:val="ListNumber"/>
      </w:pPr>
      <w:r>
        <w:t>Create and activate the project virtual environment.</w:t>
      </w:r>
    </w:p>
    <w:p>
      <w:pPr>
        <w:pStyle w:val="ListNumber"/>
      </w:pPr>
      <w:r>
        <w:t>Install dependencies from requirements.txt.</w:t>
      </w:r>
    </w:p>
    <w:p>
      <w:pPr>
        <w:pStyle w:val="ListNumber"/>
      </w:pPr>
      <w:r>
        <w:t>Open src/LendWise.ipynb in Jupyter.</w:t>
      </w:r>
    </w:p>
    <w:p>
      <w:pPr>
        <w:pStyle w:val="ListNumber"/>
      </w:pPr>
      <w:r>
        <w:t>Run the dataset download cell if src/data/SBAnational.csv is missing.</w:t>
      </w:r>
    </w:p>
    <w:p>
      <w:pPr>
        <w:pStyle w:val="ListNumber"/>
      </w:pPr>
      <w:r>
        <w:t>Run all cells to reproduce preprocessing, model training, evaluation tables, and plots.</w:t>
      </w:r>
    </w:p>
    <w:p>
      <w:r>
        <w:t>Expected generated files include src/data/model_results.csv and report figures under reports/assets/.</w:t>
      </w:r>
    </w:p>
    <w:p>
      <w:pPr>
        <w:pStyle w:val="Heading1"/>
      </w:pPr>
      <w:r>
        <w:t>8. Conclusion</w:t>
      </w:r>
    </w:p>
    <w:p>
      <w:r>
        <w:t>The project successfully converts LendWise into an SBA approved loan amount regression system. The preprocessing now matches SBA lending data, leakage columns are removed, engineered features are added, and multiple models are evaluated fairly on the same test set.</w:t>
      </w:r>
    </w:p>
    <w:p>
      <w:r>
        <w:t>LightGBM is the final recommended model because it has the lowest RMSE and the highest R2 among the tested models. The result is useful for broad loan amount estimation, while the remaining error shows that exact approval prediction requires additional borrower and underwriting data.</w:t>
      </w:r>
    </w:p>
    <w:p>
      <w:pPr>
        <w:pStyle w:val="Heading2"/>
      </w:pPr>
      <w:r>
        <w:t>Individual Contribution</w:t>
      </w:r>
    </w:p>
    <w:p>
      <w:r>
        <w:t>Deepak completed the dataset change to SBA National, preprocessing redesign, feature engineering, model training, GPU setup, evaluation updates, plot diagnostics, and report preparation. This section can be edited if additional team members need to be listed.</w:t>
      </w:r>
    </w:p>
    <w:p>
      <w:pPr>
        <w:pStyle w:val="Heading1"/>
      </w:pPr>
      <w:r>
        <w:t>9. References</w:t>
      </w:r>
    </w:p>
    <w:p>
      <w:pPr>
        <w:pStyle w:val="ListBullet"/>
      </w:pPr>
      <w:r>
        <w:t>SBA National Loan Dataset. Kaggle. https://www.kaggle.com/datasets/maddraf/sbanational-csv</w:t>
      </w:r>
    </w:p>
    <w:p>
      <w:pPr>
        <w:pStyle w:val="ListBullet"/>
      </w:pPr>
      <w:r>
        <w:t>U.S. Small Business Administration. 7(a) Loan Program overview. https://www.sba.gov/funding-programs/loans/7a-loans</w:t>
      </w:r>
    </w:p>
    <w:p>
      <w:pPr>
        <w:pStyle w:val="ListBullet"/>
      </w:pPr>
      <w:r>
        <w:t>scikit-learn documentation. https://scikit-learn.org/stable/</w:t>
      </w:r>
    </w:p>
    <w:p>
      <w:pPr>
        <w:pStyle w:val="ListBullet"/>
      </w:pPr>
      <w:r>
        <w:t>LightGBM documentation. https://lightgbm.readthedocs.io/</w:t>
      </w:r>
    </w:p>
    <w:p>
      <w:pPr>
        <w:pStyle w:val="ListBullet"/>
      </w:pPr>
      <w:r>
        <w:t>XGBoost documentation. https://xgboost.readthedocs.io/</w:t>
      </w:r>
    </w:p>
    <w:p>
      <w:pPr>
        <w:pStyle w:val="ListBullet"/>
      </w:pPr>
      <w:r>
        <w:t>CatBoost documentation. https://catboost.ai/</w:t>
      </w:r>
    </w:p>
    <w:p>
      <w:pPr>
        <w:pStyle w:val="ListBullet"/>
      </w:pPr>
      <w:r>
        <w:t>TensorFlow documentation. https://www.tensorflow.org/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