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60" w:after="60"/>
        <w:jc w:val="center"/>
      </w:pPr>
      <w:r>
        <w:rPr>
          <w:rFonts w:ascii="Arial" w:cs="Arial" w:eastAsia="Arial" w:hAnsi="Arial"/>
          <w:b/>
          <w:bCs/>
          <w:color w:val="00C896"/>
          <w:sz w:val="72"/>
          <w:szCs w:val="72"/>
        </w:rPr>
        <w:t xml:space="preserve">UpiSense</w:t>
      </w:r>
    </w:p>
    <w:p>
      <w:pPr>
        <w:spacing w:before="60" w:after="60"/>
        <w:jc w:val="center"/>
      </w:pPr>
      <w:r>
        <w:rPr>
          <w:rFonts w:ascii="Arial" w:cs="Arial" w:eastAsia="Arial" w:hAnsi="Arial"/>
          <w:b/>
          <w:bCs/>
          <w:color w:val="111827"/>
          <w:sz w:val="40"/>
          <w:szCs w:val="40"/>
        </w:rPr>
        <w:t xml:space="preserve">MVP Pre-Launch Checklist</w:t>
      </w:r>
    </w:p>
    <w:p>
      <w:pPr>
        <w:spacing w:before="60" w:after="60"/>
        <w:jc w:val="center"/>
      </w:pPr>
      <w:r>
        <w:rPr>
          <w:rFonts w:ascii="Arial" w:cs="Arial" w:eastAsia="Arial" w:hAnsi="Arial"/>
          <w:b w:val="false"/>
          <w:bCs w:val="false"/>
          <w:color w:val="6B7280"/>
          <w:sz w:val="20"/>
          <w:szCs w:val="20"/>
        </w:rPr>
        <w:t xml:space="preserve">Free tier only  |  No subscription payments  |  Version 1.0  |  February 2026</w:t>
      </w:r>
    </w:p>
    <w:p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pBdr>
          <w:bottom w:val="single" w:color="00C896" w:sz="6" w:space="4"/>
        </w:pBdr>
        <w:spacing w:before="40" w:after="200"/>
        <w:jc w:val="center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112 items across 10 sections. Complete every CRITICAL item before any user touches the product.</w:t>
      </w:r>
    </w:p>
    <w:p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hd w:fill="FEF3C7" w:val="clear"/>
        <w:spacing w:before="100" w:after="100"/>
        <w:ind w:left="200"/>
      </w:pPr>
      <w:r>
        <w:rPr>
          <w:rFonts w:ascii="Arial" w:cs="Arial" w:eastAsia="Arial" w:hAnsi="Arial"/>
          <w:i/>
          <w:iCs/>
          <w:color w:val="92400E"/>
          <w:sz w:val="19"/>
          <w:szCs w:val="19"/>
        </w:rPr>
        <w:t xml:space="preserve">CRITICAL = must be done before launch.  HIGH = do within 48 hours of launch.  NORMAL = do within first 2 weeks.</w:t>
      </w:r>
    </w:p>
    <w:p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pBdr>
          <w:bottom w:val="single" w:color="00C896" w:sz="6" w:space="3"/>
        </w:pBdr>
        <w:spacing w:before="400" w:after="120"/>
      </w:pPr>
      <w:r>
        <w:rPr>
          <w:rFonts w:ascii="Arial" w:cs="Arial" w:eastAsia="Arial" w:hAnsi="Arial"/>
          <w:b/>
          <w:bCs/>
          <w:color w:val="111827"/>
          <w:sz w:val="28"/>
          <w:szCs w:val="28"/>
        </w:rPr>
        <w:t xml:space="preserve">1.  Legal Entity &amp; Registration</w:t>
      </w:r>
    </w:p>
    <w:p>
      <w:pPr>
        <w:spacing w:before="60" w:after="100"/>
      </w:pPr>
      <w:r>
        <w:rPr>
          <w:rFonts w:ascii="Arial" w:cs="Arial" w:eastAsia="Arial" w:hAnsi="Arial"/>
          <w:color w:val="6B7280"/>
          <w:sz w:val="20"/>
          <w:szCs w:val="20"/>
        </w:rPr>
        <w:t xml:space="preserve">These items establish you as a legal operator. No subscription means no GST urgency, but you still need to be identifiable for Meta Business Verification.</w:t>
      </w:r>
    </w:p>
    <w:p>
      <w:r>
        <w:rPr>
          <w:rFonts w:ascii="Arial" w:cs="Arial" w:eastAsia="Arial" w:hAnsi="Arial"/>
          <w:sz w:val="22"/>
          <w:szCs w:val="22"/>
        </w:rPr>
        <w:t xml:space="preserve"> </w:t>
      </w:r>
    </w:p>
    <w:tbl>
      <w:tblPr>
        <w:tblW w:type="dxa" w:w="8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5200"/>
        <w:gridCol w:w="1100"/>
        <w:gridCol w:w="2180"/>
      </w:tblGrid>
      <w:tr>
        <w:trPr>
          <w:tblHeader/>
        </w:trPr>
        <w:tc>
          <w:tcPr>
            <w:tcW w:type="dxa" w:w="4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1182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1182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Task</w:t>
            </w:r>
          </w:p>
        </w:tc>
        <w:tc>
          <w:tcPr>
            <w:tcW w:type="dxa" w:w="11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1182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Priority</w:t>
            </w:r>
          </w:p>
        </w:tc>
        <w:tc>
          <w:tcPr>
            <w:tcW w:type="dxa" w:w="21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1182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How to verify</w:t>
            </w:r>
          </w:p>
        </w:tc>
      </w:tr>
      <w:tr>
        <w:tc>
          <w:tcPr>
            <w:tcW w:type="dxa" w:w="4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1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Complete Udyam (MSME) registration at udyamregistration.gov.in</w:t>
            </w:r>
          </w:p>
        </w:tc>
        <w:tc>
          <w:tcPr>
            <w:tcW w:type="dxa" w:w="11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45309"/>
                <w:sz w:val="16"/>
                <w:szCs w:val="16"/>
              </w:rPr>
              <w:t xml:space="preserve">HIGH</w:t>
            </w:r>
          </w:p>
        </w:tc>
        <w:tc>
          <w:tcPr>
            <w:tcW w:type="dxa" w:w="21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Screenshot of Udyam certificate saved</w:t>
            </w:r>
          </w:p>
        </w:tc>
      </w:tr>
      <w:tr>
        <w:tc>
          <w:tcPr>
            <w:tcW w:type="dxa" w:w="4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2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Register GST at gst.gov.in — required for Meta Business Verification</w:t>
            </w:r>
          </w:p>
        </w:tc>
        <w:tc>
          <w:tcPr>
            <w:tcW w:type="dxa" w:w="11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45309"/>
                <w:sz w:val="16"/>
                <w:szCs w:val="16"/>
              </w:rPr>
              <w:t xml:space="preserve">HIGH</w:t>
            </w:r>
          </w:p>
        </w:tc>
        <w:tc>
          <w:tcPr>
            <w:tcW w:type="dxa" w:w="21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GSTIN received and saved</w:t>
            </w:r>
          </w:p>
        </w:tc>
      </w:tr>
      <w:tr>
        <w:tc>
          <w:tcPr>
            <w:tcW w:type="dxa" w:w="4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3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Appoint yourself as Grievance Officer — your name written into Privacy Policy</w:t>
            </w:r>
          </w:p>
        </w:tc>
        <w:tc>
          <w:tcPr>
            <w:tcW w:type="dxa" w:w="11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91C1C"/>
                <w:sz w:val="16"/>
                <w:szCs w:val="16"/>
              </w:rPr>
              <w:t xml:space="preserve">CRITICAL</w:t>
            </w:r>
          </w:p>
        </w:tc>
        <w:tc>
          <w:tcPr>
            <w:tcW w:type="dxa" w:w="21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Name visible on /privacy page</w:t>
            </w:r>
          </w:p>
        </w:tc>
      </w:tr>
      <w:tr>
        <w:tc>
          <w:tcPr>
            <w:tcW w:type="dxa" w:w="4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4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support@upisense.app set up as a real inbox you check daily</w:t>
            </w:r>
          </w:p>
        </w:tc>
        <w:tc>
          <w:tcPr>
            <w:tcW w:type="dxa" w:w="11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91C1C"/>
                <w:sz w:val="16"/>
                <w:szCs w:val="16"/>
              </w:rPr>
              <w:t xml:space="preserve">CRITICAL</w:t>
            </w:r>
          </w:p>
        </w:tc>
        <w:tc>
          <w:tcPr>
            <w:tcW w:type="dxa" w:w="21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Send test email — confirm you receive it</w:t>
            </w:r>
          </w:p>
        </w:tc>
      </w:tr>
      <w:tr>
        <w:tc>
          <w:tcPr>
            <w:tcW w:type="dxa" w:w="4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5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privacy@upisense.app and dpo@upisense.app both working</w:t>
            </w:r>
          </w:p>
        </w:tc>
        <w:tc>
          <w:tcPr>
            <w:tcW w:type="dxa" w:w="11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91C1C"/>
                <w:sz w:val="16"/>
                <w:szCs w:val="16"/>
              </w:rPr>
              <w:t xml:space="preserve">CRITICAL</w:t>
            </w:r>
          </w:p>
        </w:tc>
        <w:tc>
          <w:tcPr>
            <w:tcW w:type="dxa" w:w="21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Send test email to each — confirm receipt</w:t>
            </w:r>
          </w:p>
        </w:tc>
      </w:tr>
      <w:tr>
        <w:tc>
          <w:tcPr>
            <w:tcW w:type="dxa" w:w="4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6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legal@upisense.app forwarding to your personal email</w:t>
            </w:r>
          </w:p>
        </w:tc>
        <w:tc>
          <w:tcPr>
            <w:tcW w:type="dxa" w:w="11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4ED8"/>
                <w:sz w:val="16"/>
                <w:szCs w:val="16"/>
              </w:rPr>
              <w:t xml:space="preserve">NORMAL</w:t>
            </w:r>
          </w:p>
        </w:tc>
        <w:tc>
          <w:tcPr>
            <w:tcW w:type="dxa" w:w="21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Send test email — confirm receipt</w:t>
            </w:r>
          </w:p>
        </w:tc>
      </w:tr>
    </w:tbl>
    <w:p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pBdr>
          <w:bottom w:val="single" w:color="00C896" w:sz="6" w:space="3"/>
        </w:pBdr>
        <w:spacing w:before="400" w:after="120"/>
      </w:pPr>
      <w:r>
        <w:rPr>
          <w:rFonts w:ascii="Arial" w:cs="Arial" w:eastAsia="Arial" w:hAnsi="Arial"/>
          <w:b/>
          <w:bCs/>
          <w:color w:val="111827"/>
          <w:sz w:val="28"/>
          <w:szCs w:val="28"/>
        </w:rPr>
        <w:t xml:space="preserve">2.  Legal Documents</w:t>
      </w:r>
    </w:p>
    <w:p>
      <w:pPr>
        <w:spacing w:before="60" w:after="100"/>
      </w:pPr>
      <w:r>
        <w:rPr>
          <w:rFonts w:ascii="Arial" w:cs="Arial" w:eastAsia="Arial" w:hAnsi="Arial"/>
          <w:color w:val="6B7280"/>
          <w:sz w:val="20"/>
          <w:szCs w:val="20"/>
        </w:rPr>
        <w:t xml:space="preserve">Both documents must be publicly accessible without login before user number one signs up.</w:t>
      </w:r>
    </w:p>
    <w:p>
      <w:r>
        <w:rPr>
          <w:rFonts w:ascii="Arial" w:cs="Arial" w:eastAsia="Arial" w:hAnsi="Arial"/>
          <w:sz w:val="22"/>
          <w:szCs w:val="22"/>
        </w:rPr>
        <w:t xml:space="preserve"> </w:t>
      </w:r>
    </w:p>
    <w:tbl>
      <w:tblPr>
        <w:tblW w:type="dxa" w:w="8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5200"/>
        <w:gridCol w:w="1100"/>
        <w:gridCol w:w="2180"/>
      </w:tblGrid>
      <w:tr>
        <w:trPr>
          <w:tblHeader/>
        </w:trPr>
        <w:tc>
          <w:tcPr>
            <w:tcW w:type="dxa" w:w="4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1182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1182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Task</w:t>
            </w:r>
          </w:p>
        </w:tc>
        <w:tc>
          <w:tcPr>
            <w:tcW w:type="dxa" w:w="11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1182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Priority</w:t>
            </w:r>
          </w:p>
        </w:tc>
        <w:tc>
          <w:tcPr>
            <w:tcW w:type="dxa" w:w="21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1182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How to verify</w:t>
            </w:r>
          </w:p>
        </w:tc>
      </w:tr>
      <w:tr>
        <w:tc>
          <w:tcPr>
            <w:tcW w:type="dxa" w:w="4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7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Privacy Policy live at upisense.app/privacy — no login required</w:t>
            </w:r>
          </w:p>
        </w:tc>
        <w:tc>
          <w:tcPr>
            <w:tcW w:type="dxa" w:w="11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91C1C"/>
                <w:sz w:val="16"/>
                <w:szCs w:val="16"/>
              </w:rPr>
              <w:t xml:space="preserve">CRITICAL</w:t>
            </w:r>
          </w:p>
        </w:tc>
        <w:tc>
          <w:tcPr>
            <w:tcW w:type="dxa" w:w="21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Open in incognito — loads without auth</w:t>
            </w:r>
          </w:p>
        </w:tc>
      </w:tr>
      <w:tr>
        <w:tc>
          <w:tcPr>
            <w:tcW w:type="dxa" w:w="4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8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Terms of Service live at upisense.app/terms — no login required</w:t>
            </w:r>
          </w:p>
        </w:tc>
        <w:tc>
          <w:tcPr>
            <w:tcW w:type="dxa" w:w="11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91C1C"/>
                <w:sz w:val="16"/>
                <w:szCs w:val="16"/>
              </w:rPr>
              <w:t xml:space="preserve">CRITICAL</w:t>
            </w:r>
          </w:p>
        </w:tc>
        <w:tc>
          <w:tcPr>
            <w:tcW w:type="dxa" w:w="21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Open in incognito — loads without auth</w:t>
            </w:r>
          </w:p>
        </w:tc>
      </w:tr>
      <w:tr>
        <w:tc>
          <w:tcPr>
            <w:tcW w:type="dxa" w:w="4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9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Privacy Policy includes Grievance Officer name, email, and address</w:t>
            </w:r>
          </w:p>
        </w:tc>
        <w:tc>
          <w:tcPr>
            <w:tcW w:type="dxa" w:w="11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91C1C"/>
                <w:sz w:val="16"/>
                <w:szCs w:val="16"/>
              </w:rPr>
              <w:t xml:space="preserve">CRITICAL</w:t>
            </w:r>
          </w:p>
        </w:tc>
        <w:tc>
          <w:tcPr>
            <w:tcW w:type="dxa" w:w="21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Read /privacy — officer details visible</w:t>
            </w:r>
          </w:p>
        </w:tc>
      </w:tr>
      <w:tr>
        <w:tc>
          <w:tcPr>
            <w:tcW w:type="dxa" w:w="4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10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Privacy Policy discloses AI processing (Gemini/Claude) explicitly</w:t>
            </w:r>
          </w:p>
        </w:tc>
        <w:tc>
          <w:tcPr>
            <w:tcW w:type="dxa" w:w="11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91C1C"/>
                <w:sz w:val="16"/>
                <w:szCs w:val="16"/>
              </w:rPr>
              <w:t xml:space="preserve">CRITICAL</w:t>
            </w:r>
          </w:p>
        </w:tc>
        <w:tc>
          <w:tcPr>
            <w:tcW w:type="dxa" w:w="21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Search /privacy for 'AI' — mentioned clearly</w:t>
            </w:r>
          </w:p>
        </w:tc>
      </w:tr>
      <w:tr>
        <w:tc>
          <w:tcPr>
            <w:tcW w:type="dxa" w:w="4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11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Privacy Policy discloses WhatsApp Business API usage</w:t>
            </w:r>
          </w:p>
        </w:tc>
        <w:tc>
          <w:tcPr>
            <w:tcW w:type="dxa" w:w="11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91C1C"/>
                <w:sz w:val="16"/>
                <w:szCs w:val="16"/>
              </w:rPr>
              <w:t xml:space="preserve">CRITICAL</w:t>
            </w:r>
          </w:p>
        </w:tc>
        <w:tc>
          <w:tcPr>
            <w:tcW w:type="dxa" w:w="21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WhatsApp section visible on /privacy</w:t>
            </w:r>
          </w:p>
        </w:tc>
      </w:tr>
      <w:tr>
        <w:tc>
          <w:tcPr>
            <w:tcW w:type="dxa" w:w="4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12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Privacy Policy states raw message deleted within 60 seconds</w:t>
            </w:r>
          </w:p>
        </w:tc>
        <w:tc>
          <w:tcPr>
            <w:tcW w:type="dxa" w:w="11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91C1C"/>
                <w:sz w:val="16"/>
                <w:szCs w:val="16"/>
              </w:rPr>
              <w:t xml:space="preserve">CRITICAL</w:t>
            </w:r>
          </w:p>
        </w:tc>
        <w:tc>
          <w:tcPr>
            <w:tcW w:type="dxa" w:w="21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Sentence visible on /privacy</w:t>
            </w:r>
          </w:p>
        </w:tc>
      </w:tr>
      <w:tr>
        <w:tc>
          <w:tcPr>
            <w:tcW w:type="dxa" w:w="4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13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Privacy Policy names all third-party providers: Meta, Supabase, Gemini/Claude</w:t>
            </w:r>
          </w:p>
        </w:tc>
        <w:tc>
          <w:tcPr>
            <w:tcW w:type="dxa" w:w="11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91C1C"/>
                <w:sz w:val="16"/>
                <w:szCs w:val="16"/>
              </w:rPr>
              <w:t xml:space="preserve">CRITICAL</w:t>
            </w:r>
          </w:p>
        </w:tc>
        <w:tc>
          <w:tcPr>
            <w:tcW w:type="dxa" w:w="21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All three named on /privacy</w:t>
            </w:r>
          </w:p>
        </w:tc>
      </w:tr>
      <w:tr>
        <w:tc>
          <w:tcPr>
            <w:tcW w:type="dxa" w:w="4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14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Terms of Service states UpiSense is NOT a bank or financial advisor</w:t>
            </w:r>
          </w:p>
        </w:tc>
        <w:tc>
          <w:tcPr>
            <w:tcW w:type="dxa" w:w="11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91C1C"/>
                <w:sz w:val="16"/>
                <w:szCs w:val="16"/>
              </w:rPr>
              <w:t xml:space="preserve">CRITICAL</w:t>
            </w:r>
          </w:p>
        </w:tc>
        <w:tc>
          <w:tcPr>
            <w:tcW w:type="dxa" w:w="21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Disclaimer visible on /terms</w:t>
            </w:r>
          </w:p>
        </w:tc>
      </w:tr>
      <w:tr>
        <w:tc>
          <w:tcPr>
            <w:tcW w:type="dxa" w:w="4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15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Terms of Service states AI categorization may not be 100% accurate</w:t>
            </w:r>
          </w:p>
        </w:tc>
        <w:tc>
          <w:tcPr>
            <w:tcW w:type="dxa" w:w="11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91C1C"/>
                <w:sz w:val="16"/>
                <w:szCs w:val="16"/>
              </w:rPr>
              <w:t xml:space="preserve">CRITICAL</w:t>
            </w:r>
          </w:p>
        </w:tc>
        <w:tc>
          <w:tcPr>
            <w:tcW w:type="dxa" w:w="21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AI disclaimer visible on /terms</w:t>
            </w:r>
          </w:p>
        </w:tc>
      </w:tr>
      <w:tr>
        <w:tc>
          <w:tcPr>
            <w:tcW w:type="dxa" w:w="4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16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Terms of Service includes STOP opt-out instructions</w:t>
            </w:r>
          </w:p>
        </w:tc>
        <w:tc>
          <w:tcPr>
            <w:tcW w:type="dxa" w:w="11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91C1C"/>
                <w:sz w:val="16"/>
                <w:szCs w:val="16"/>
              </w:rPr>
              <w:t xml:space="preserve">CRITICAL</w:t>
            </w:r>
          </w:p>
        </w:tc>
        <w:tc>
          <w:tcPr>
            <w:tcW w:type="dxa" w:w="21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Opt-out instructions visible on /terms</w:t>
            </w:r>
          </w:p>
        </w:tc>
      </w:tr>
      <w:tr>
        <w:tc>
          <w:tcPr>
            <w:tcW w:type="dxa" w:w="4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17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Terms of Service states one account per person — no forwarding others' data</w:t>
            </w:r>
          </w:p>
        </w:tc>
        <w:tc>
          <w:tcPr>
            <w:tcW w:type="dxa" w:w="11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45309"/>
                <w:sz w:val="16"/>
                <w:szCs w:val="16"/>
              </w:rPr>
              <w:t xml:space="preserve">HIGH</w:t>
            </w:r>
          </w:p>
        </w:tc>
        <w:tc>
          <w:tcPr>
            <w:tcW w:type="dxa" w:w="21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Both restrictions stated on /terms</w:t>
            </w:r>
          </w:p>
        </w:tc>
      </w:tr>
      <w:tr>
        <w:tc>
          <w:tcPr>
            <w:tcW w:type="dxa" w:w="4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18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Cookie policy included — even if just 'we use only session cookies'</w:t>
            </w:r>
          </w:p>
        </w:tc>
        <w:tc>
          <w:tcPr>
            <w:tcW w:type="dxa" w:w="11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45309"/>
                <w:sz w:val="16"/>
                <w:szCs w:val="16"/>
              </w:rPr>
              <w:t xml:space="preserve">HIGH</w:t>
            </w:r>
          </w:p>
        </w:tc>
        <w:tc>
          <w:tcPr>
            <w:tcW w:type="dxa" w:w="21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Cookie section visible on /privacy</w:t>
            </w:r>
          </w:p>
        </w:tc>
      </w:tr>
      <w:tr>
        <w:tc>
          <w:tcPr>
            <w:tcW w:type="dxa" w:w="4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19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Both pages linked in footer on landing page and dashboard</w:t>
            </w:r>
          </w:p>
        </w:tc>
        <w:tc>
          <w:tcPr>
            <w:tcW w:type="dxa" w:w="11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91C1C"/>
                <w:sz w:val="16"/>
                <w:szCs w:val="16"/>
              </w:rPr>
              <w:t xml:space="preserve">CRITICAL</w:t>
            </w:r>
          </w:p>
        </w:tc>
        <w:tc>
          <w:tcPr>
            <w:tcW w:type="dxa" w:w="21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Check footer on both — links present and working</w:t>
            </w:r>
          </w:p>
        </w:tc>
      </w:tr>
      <w:tr>
        <w:tc>
          <w:tcPr>
            <w:tcW w:type="dxa" w:w="4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20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Last updated date shown on both documents</w:t>
            </w:r>
          </w:p>
        </w:tc>
        <w:tc>
          <w:tcPr>
            <w:tcW w:type="dxa" w:w="11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45309"/>
                <w:sz w:val="16"/>
                <w:szCs w:val="16"/>
              </w:rPr>
              <w:t xml:space="preserve">HIGH</w:t>
            </w:r>
          </w:p>
        </w:tc>
        <w:tc>
          <w:tcPr>
            <w:tcW w:type="dxa" w:w="21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Date visible at top of each document</w:t>
            </w:r>
          </w:p>
        </w:tc>
      </w:tr>
    </w:tbl>
    <w:p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pBdr>
          <w:bottom w:val="single" w:color="00C896" w:sz="6" w:space="3"/>
        </w:pBdr>
        <w:spacing w:before="400" w:after="120"/>
      </w:pPr>
      <w:r>
        <w:rPr>
          <w:rFonts w:ascii="Arial" w:cs="Arial" w:eastAsia="Arial" w:hAnsi="Arial"/>
          <w:b/>
          <w:bCs/>
          <w:color w:val="111827"/>
          <w:sz w:val="28"/>
          <w:szCs w:val="28"/>
        </w:rPr>
        <w:t xml:space="preserve">3.  DPDP Act 2023 Compliance</w:t>
      </w:r>
    </w:p>
    <w:p>
      <w:pPr>
        <w:spacing w:before="60" w:after="60"/>
      </w:pPr>
      <w:r>
        <w:rPr>
          <w:rFonts w:ascii="Arial" w:cs="Arial" w:eastAsia="Arial" w:hAnsi="Arial"/>
          <w:color w:val="6B7280"/>
          <w:sz w:val="20"/>
          <w:szCs w:val="20"/>
        </w:rPr>
        <w:t xml:space="preserve">The Digital Personal Data Protection Act 2023 applies from day one. These are not optional.</w:t>
      </w:r>
    </w:p>
    <w:p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hd w:fill="FEF3C7" w:val="clear"/>
        <w:spacing w:before="100" w:after="100"/>
        <w:ind w:left="200"/>
      </w:pPr>
      <w:r>
        <w:rPr>
          <w:rFonts w:ascii="Arial" w:cs="Arial" w:eastAsia="Arial" w:hAnsi="Arial"/>
          <w:i/>
          <w:iCs/>
          <w:color w:val="92400E"/>
          <w:sz w:val="19"/>
          <w:szCs w:val="19"/>
        </w:rPr>
        <w:t xml:space="preserve">Items 21, 22, and 24 create the most direct legal exposure under DPDP Act. Do these first.</w:t>
      </w:r>
    </w:p>
    <w:p>
      <w:r>
        <w:rPr>
          <w:rFonts w:ascii="Arial" w:cs="Arial" w:eastAsia="Arial" w:hAnsi="Arial"/>
          <w:sz w:val="22"/>
          <w:szCs w:val="22"/>
        </w:rPr>
        <w:t xml:space="preserve"> </w:t>
      </w:r>
    </w:p>
    <w:tbl>
      <w:tblPr>
        <w:tblW w:type="dxa" w:w="8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5200"/>
        <w:gridCol w:w="1100"/>
        <w:gridCol w:w="2180"/>
      </w:tblGrid>
      <w:tr>
        <w:trPr>
          <w:tblHeader/>
        </w:trPr>
        <w:tc>
          <w:tcPr>
            <w:tcW w:type="dxa" w:w="4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1182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1182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Task</w:t>
            </w:r>
          </w:p>
        </w:tc>
        <w:tc>
          <w:tcPr>
            <w:tcW w:type="dxa" w:w="11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1182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Priority</w:t>
            </w:r>
          </w:p>
        </w:tc>
        <w:tc>
          <w:tcPr>
            <w:tcW w:type="dxa" w:w="21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1182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How to verify</w:t>
            </w:r>
          </w:p>
        </w:tc>
      </w:tr>
      <w:tr>
        <w:tc>
          <w:tcPr>
            <w:tcW w:type="dxa" w:w="4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21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Consent checkbox at signup — NOT pre-ticked, links to /terms and /privacy</w:t>
            </w:r>
          </w:p>
        </w:tc>
        <w:tc>
          <w:tcPr>
            <w:tcW w:type="dxa" w:w="11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91C1C"/>
                <w:sz w:val="16"/>
                <w:szCs w:val="16"/>
              </w:rPr>
              <w:t xml:space="preserve">CRITICAL</w:t>
            </w:r>
          </w:p>
        </w:tc>
        <w:tc>
          <w:tcPr>
            <w:tcW w:type="dxa" w:w="21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Try signup — checkbox unchecked by default</w:t>
            </w:r>
          </w:p>
        </w:tc>
      </w:tr>
      <w:tr>
        <w:tc>
          <w:tcPr>
            <w:tcW w:type="dxa" w:w="4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22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Consent timestamp logged to DB on signup (user_id + agreed_at + consent_text)</w:t>
            </w:r>
          </w:p>
        </w:tc>
        <w:tc>
          <w:tcPr>
            <w:tcW w:type="dxa" w:w="11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91C1C"/>
                <w:sz w:val="16"/>
                <w:szCs w:val="16"/>
              </w:rPr>
              <w:t xml:space="preserve">CRITICAL</w:t>
            </w:r>
          </w:p>
        </w:tc>
        <w:tc>
          <w:tcPr>
            <w:tcW w:type="dxa" w:w="21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Check DB after test signup — consent row exists</w:t>
            </w:r>
          </w:p>
        </w:tc>
      </w:tr>
      <w:tr>
        <w:tc>
          <w:tcPr>
            <w:tcW w:type="dxa" w:w="4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23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Users can export/download all their data from dashboard</w:t>
            </w:r>
          </w:p>
        </w:tc>
        <w:tc>
          <w:tcPr>
            <w:tcW w:type="dxa" w:w="11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91C1C"/>
                <w:sz w:val="16"/>
                <w:szCs w:val="16"/>
              </w:rPr>
              <w:t xml:space="preserve">CRITICAL</w:t>
            </w:r>
          </w:p>
        </w:tc>
        <w:tc>
          <w:tcPr>
            <w:tcW w:type="dxa" w:w="21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Click export — file downloads with all transactions</w:t>
            </w:r>
          </w:p>
        </w:tc>
      </w:tr>
      <w:tr>
        <w:tc>
          <w:tcPr>
            <w:tcW w:type="dxa" w:w="4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24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Account deletion purges ALL rows from ALL tables for that user</w:t>
            </w:r>
          </w:p>
        </w:tc>
        <w:tc>
          <w:tcPr>
            <w:tcW w:type="dxa" w:w="11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91C1C"/>
                <w:sz w:val="16"/>
                <w:szCs w:val="16"/>
              </w:rPr>
              <w:t xml:space="preserve">CRITICAL</w:t>
            </w:r>
          </w:p>
        </w:tc>
        <w:tc>
          <w:tcPr>
            <w:tcW w:type="dxa" w:w="21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Create account, add data, delete, query DB — zero rows remain</w:t>
            </w:r>
          </w:p>
        </w:tc>
      </w:tr>
      <w:tr>
        <w:tc>
          <w:tcPr>
            <w:tcW w:type="dxa" w:w="4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25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Account deletion completes within 30 days — process documented</w:t>
            </w:r>
          </w:p>
        </w:tc>
        <w:tc>
          <w:tcPr>
            <w:tcW w:type="dxa" w:w="11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91C1C"/>
                <w:sz w:val="16"/>
                <w:szCs w:val="16"/>
              </w:rPr>
              <w:t xml:space="preserve">CRITICAL</w:t>
            </w:r>
          </w:p>
        </w:tc>
        <w:tc>
          <w:tcPr>
            <w:tcW w:type="dxa" w:w="21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Document exists describing deletion process and timing</w:t>
            </w:r>
          </w:p>
        </w:tc>
      </w:tr>
      <w:tr>
        <w:tc>
          <w:tcPr>
            <w:tcW w:type="dxa" w:w="4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26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Users can correct inaccurate data — edit transaction categories works</w:t>
            </w:r>
          </w:p>
        </w:tc>
        <w:tc>
          <w:tcPr>
            <w:tcW w:type="dxa" w:w="11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45309"/>
                <w:sz w:val="16"/>
                <w:szCs w:val="16"/>
              </w:rPr>
              <w:t xml:space="preserve">HIGH</w:t>
            </w:r>
          </w:p>
        </w:tc>
        <w:tc>
          <w:tcPr>
            <w:tcW w:type="dxa" w:w="21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Edit a category — change persists on refresh</w:t>
            </w:r>
          </w:p>
        </w:tc>
      </w:tr>
      <w:tr>
        <w:tc>
          <w:tcPr>
            <w:tcW w:type="dxa" w:w="4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27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Consent withdrawal equals account deletion — path is working</w:t>
            </w:r>
          </w:p>
        </w:tc>
        <w:tc>
          <w:tcPr>
            <w:tcW w:type="dxa" w:w="11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91C1C"/>
                <w:sz w:val="16"/>
                <w:szCs w:val="16"/>
              </w:rPr>
              <w:t xml:space="preserve">CRITICAL</w:t>
            </w:r>
          </w:p>
        </w:tc>
        <w:tc>
          <w:tcPr>
            <w:tcW w:type="dxa" w:w="21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Test delete account flow end to end</w:t>
            </w:r>
          </w:p>
        </w:tc>
      </w:tr>
      <w:tr>
        <w:tc>
          <w:tcPr>
            <w:tcW w:type="dxa" w:w="4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28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Every DB column has a corresponding purpose listed in Privacy Policy</w:t>
            </w:r>
          </w:p>
        </w:tc>
        <w:tc>
          <w:tcPr>
            <w:tcW w:type="dxa" w:w="11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91C1C"/>
                <w:sz w:val="16"/>
                <w:szCs w:val="16"/>
              </w:rPr>
              <w:t xml:space="preserve">CRITICAL</w:t>
            </w:r>
          </w:p>
        </w:tc>
        <w:tc>
          <w:tcPr>
            <w:tcW w:type="dxa" w:w="21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List every column — each matches a disclosed purpose</w:t>
            </w:r>
          </w:p>
        </w:tc>
      </w:tr>
      <w:tr>
        <w:tc>
          <w:tcPr>
            <w:tcW w:type="dxa" w:w="4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29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Grievance email (dpo@upisense.app) is real and monitored</w:t>
            </w:r>
          </w:p>
        </w:tc>
        <w:tc>
          <w:tcPr>
            <w:tcW w:type="dxa" w:w="11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91C1C"/>
                <w:sz w:val="16"/>
                <w:szCs w:val="16"/>
              </w:rPr>
              <w:t xml:space="preserve">CRITICAL</w:t>
            </w:r>
          </w:p>
        </w:tc>
        <w:tc>
          <w:tcPr>
            <w:tcW w:type="dxa" w:w="21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Send test complaint — you receive it</w:t>
            </w:r>
          </w:p>
        </w:tc>
      </w:tr>
      <w:tr>
        <w:tc>
          <w:tcPr>
            <w:tcW w:type="dxa" w:w="4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30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Data minimisation confirmed — not collecting anything undisclosed</w:t>
            </w:r>
          </w:p>
        </w:tc>
        <w:tc>
          <w:tcPr>
            <w:tcW w:type="dxa" w:w="11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45309"/>
                <w:sz w:val="16"/>
                <w:szCs w:val="16"/>
              </w:rPr>
              <w:t xml:space="preserve">HIGH</w:t>
            </w:r>
          </w:p>
        </w:tc>
        <w:tc>
          <w:tcPr>
            <w:tcW w:type="dxa" w:w="21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No extra fields collected beyond what Privacy Policy lists</w:t>
            </w:r>
          </w:p>
        </w:tc>
      </w:tr>
      <w:tr>
        <w:tc>
          <w:tcPr>
            <w:tcW w:type="dxa" w:w="4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31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Written incident response plan exists covering breach notification within 72hrs</w:t>
            </w:r>
          </w:p>
        </w:tc>
        <w:tc>
          <w:tcPr>
            <w:tcW w:type="dxa" w:w="11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45309"/>
                <w:sz w:val="16"/>
                <w:szCs w:val="16"/>
              </w:rPr>
              <w:t xml:space="preserve">HIGH</w:t>
            </w:r>
          </w:p>
        </w:tc>
        <w:tc>
          <w:tcPr>
            <w:tcW w:type="dxa" w:w="21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Document exists and is accessible to you</w:t>
            </w:r>
          </w:p>
        </w:tc>
      </w:tr>
    </w:tbl>
    <w:p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pBdr>
          <w:bottom w:val="single" w:color="00C896" w:sz="6" w:space="3"/>
        </w:pBdr>
        <w:spacing w:before="400" w:after="120"/>
      </w:pPr>
      <w:r>
        <w:rPr>
          <w:rFonts w:ascii="Arial" w:cs="Arial" w:eastAsia="Arial" w:hAnsi="Arial"/>
          <w:b/>
          <w:bCs/>
          <w:color w:val="111827"/>
          <w:sz w:val="28"/>
          <w:szCs w:val="28"/>
        </w:rPr>
        <w:t xml:space="preserve">4.  WhatsApp &amp; Meta Compliance</w:t>
      </w:r>
    </w:p>
    <w:p>
      <w:pPr>
        <w:spacing w:before="60" w:after="100"/>
      </w:pPr>
      <w:r>
        <w:rPr>
          <w:rFonts w:ascii="Arial" w:cs="Arial" w:eastAsia="Arial" w:hAnsi="Arial"/>
          <w:color w:val="6B7280"/>
          <w:sz w:val="20"/>
          <w:szCs w:val="20"/>
        </w:rPr>
        <w:t xml:space="preserve">WhatsApp is the core of UpiSense. Every item here must pass before real users are onboarded.</w:t>
      </w:r>
    </w:p>
    <w:p>
      <w:r>
        <w:rPr>
          <w:rFonts w:ascii="Arial" w:cs="Arial" w:eastAsia="Arial" w:hAnsi="Arial"/>
          <w:sz w:val="22"/>
          <w:szCs w:val="22"/>
        </w:rPr>
        <w:t xml:space="preserve"> </w:t>
      </w:r>
    </w:p>
    <w:tbl>
      <w:tblPr>
        <w:tblW w:type="dxa" w:w="8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5200"/>
        <w:gridCol w:w="1100"/>
        <w:gridCol w:w="2180"/>
      </w:tblGrid>
      <w:tr>
        <w:trPr>
          <w:tblHeader/>
        </w:trPr>
        <w:tc>
          <w:tcPr>
            <w:tcW w:type="dxa" w:w="4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1182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1182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Task</w:t>
            </w:r>
          </w:p>
        </w:tc>
        <w:tc>
          <w:tcPr>
            <w:tcW w:type="dxa" w:w="11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1182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Priority</w:t>
            </w:r>
          </w:p>
        </w:tc>
        <w:tc>
          <w:tcPr>
            <w:tcW w:type="dxa" w:w="21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1182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How to verify</w:t>
            </w:r>
          </w:p>
        </w:tc>
      </w:tr>
      <w:tr>
        <w:tc>
          <w:tcPr>
            <w:tcW w:type="dxa" w:w="4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32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Meta app switched from Development Mode to Live Mode</w:t>
            </w:r>
          </w:p>
        </w:tc>
        <w:tc>
          <w:tcPr>
            <w:tcW w:type="dxa" w:w="11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91C1C"/>
                <w:sz w:val="16"/>
                <w:szCs w:val="16"/>
              </w:rPr>
              <w:t xml:space="preserve">CRITICAL</w:t>
            </w:r>
          </w:p>
        </w:tc>
        <w:tc>
          <w:tcPr>
            <w:tcW w:type="dxa" w:w="21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developers.facebook.com — toggle shows Live</w:t>
            </w:r>
          </w:p>
        </w:tc>
      </w:tr>
      <w:tr>
        <w:tc>
          <w:tcPr>
            <w:tcW w:type="dxa" w:w="4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33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Meta Business Verification completed using GSTIN</w:t>
            </w:r>
          </w:p>
        </w:tc>
        <w:tc>
          <w:tcPr>
            <w:tcW w:type="dxa" w:w="11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91C1C"/>
                <w:sz w:val="16"/>
                <w:szCs w:val="16"/>
              </w:rPr>
              <w:t xml:space="preserve">CRITICAL</w:t>
            </w:r>
          </w:p>
        </w:tc>
        <w:tc>
          <w:tcPr>
            <w:tcW w:type="dxa" w:w="21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Business Manager shows Verified badge</w:t>
            </w:r>
          </w:p>
        </w:tc>
      </w:tr>
      <w:tr>
        <w:tc>
          <w:tcPr>
            <w:tcW w:type="dxa" w:w="4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34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WhatsApp display name approved by Meta</w:t>
            </w:r>
          </w:p>
        </w:tc>
        <w:tc>
          <w:tcPr>
            <w:tcW w:type="dxa" w:w="11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91C1C"/>
                <w:sz w:val="16"/>
                <w:szCs w:val="16"/>
              </w:rPr>
              <w:t xml:space="preserve">CRITICAL</w:t>
            </w:r>
          </w:p>
        </w:tc>
        <w:tc>
          <w:tcPr>
            <w:tcW w:type="dxa" w:w="21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Display name confirmed in WhatsApp Business Manager</w:t>
            </w:r>
          </w:p>
        </w:tc>
      </w:tr>
      <w:tr>
        <w:tc>
          <w:tcPr>
            <w:tcW w:type="dxa" w:w="4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35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All outbound message templates submitted and approved by Meta</w:t>
            </w:r>
          </w:p>
        </w:tc>
        <w:tc>
          <w:tcPr>
            <w:tcW w:type="dxa" w:w="11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91C1C"/>
                <w:sz w:val="16"/>
                <w:szCs w:val="16"/>
              </w:rPr>
              <w:t xml:space="preserve">CRITICAL</w:t>
            </w:r>
          </w:p>
        </w:tc>
        <w:tc>
          <w:tcPr>
            <w:tcW w:type="dxa" w:w="21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Templates show Approved status in dashboard</w:t>
            </w:r>
          </w:p>
        </w:tc>
      </w:tr>
      <w:tr>
        <w:tc>
          <w:tcPr>
            <w:tcW w:type="dxa" w:w="4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36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Webhook signature verification implemented in backend</w:t>
            </w:r>
          </w:p>
        </w:tc>
        <w:tc>
          <w:tcPr>
            <w:tcW w:type="dxa" w:w="11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91C1C"/>
                <w:sz w:val="16"/>
                <w:szCs w:val="16"/>
              </w:rPr>
              <w:t xml:space="preserve">CRITICAL</w:t>
            </w:r>
          </w:p>
        </w:tc>
        <w:tc>
          <w:tcPr>
            <w:tcW w:type="dxa" w:w="21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POST fake request to webhook — rejected with 403</w:t>
            </w:r>
          </w:p>
        </w:tc>
      </w:tr>
      <w:tr>
        <w:tc>
          <w:tcPr>
            <w:tcW w:type="dxa" w:w="4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37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STOP opt-out flow implemented and tested end to end</w:t>
            </w:r>
          </w:p>
        </w:tc>
        <w:tc>
          <w:tcPr>
            <w:tcW w:type="dxa" w:w="11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91C1C"/>
                <w:sz w:val="16"/>
                <w:szCs w:val="16"/>
              </w:rPr>
              <w:t xml:space="preserve">CRITICAL</w:t>
            </w:r>
          </w:p>
        </w:tc>
        <w:tc>
          <w:tcPr>
            <w:tcW w:type="dxa" w:w="21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Reply STOP from test number — no further messages sent</w:t>
            </w:r>
          </w:p>
        </w:tc>
      </w:tr>
      <w:tr>
        <w:tc>
          <w:tcPr>
            <w:tcW w:type="dxa" w:w="4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38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STOP reply sets opted_out flag in database immediately</w:t>
            </w:r>
          </w:p>
        </w:tc>
        <w:tc>
          <w:tcPr>
            <w:tcW w:type="dxa" w:w="11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91C1C"/>
                <w:sz w:val="16"/>
                <w:szCs w:val="16"/>
              </w:rPr>
              <w:t xml:space="preserve">CRITICAL</w:t>
            </w:r>
          </w:p>
        </w:tc>
        <w:tc>
          <w:tcPr>
            <w:tcW w:type="dxa" w:w="21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After STOP — check DB — opted_out = true</w:t>
            </w:r>
          </w:p>
        </w:tc>
      </w:tr>
      <w:tr>
        <w:tc>
          <w:tcPr>
            <w:tcW w:type="dxa" w:w="4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39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Confirmation message sent when user replies STOP</w:t>
            </w:r>
          </w:p>
        </w:tc>
        <w:tc>
          <w:tcPr>
            <w:tcW w:type="dxa" w:w="11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91C1C"/>
                <w:sz w:val="16"/>
                <w:szCs w:val="16"/>
              </w:rPr>
              <w:t xml:space="preserve">CRITICAL</w:t>
            </w:r>
          </w:p>
        </w:tc>
        <w:tc>
          <w:tcPr>
            <w:tcW w:type="dxa" w:w="21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Reply STOP — receive unsubscribe confirmation</w:t>
            </w:r>
          </w:p>
        </w:tc>
      </w:tr>
      <w:tr>
        <w:tc>
          <w:tcPr>
            <w:tcW w:type="dxa" w:w="4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40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START re-subscription flow implemented</w:t>
            </w:r>
          </w:p>
        </w:tc>
        <w:tc>
          <w:tcPr>
            <w:tcW w:type="dxa" w:w="11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45309"/>
                <w:sz w:val="16"/>
                <w:szCs w:val="16"/>
              </w:rPr>
              <w:t xml:space="preserve">HIGH</w:t>
            </w:r>
          </w:p>
        </w:tc>
        <w:tc>
          <w:tcPr>
            <w:tcW w:type="dxa" w:w="21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Reply START after STOP — messaging resumes</w:t>
            </w:r>
          </w:p>
        </w:tc>
      </w:tr>
      <w:tr>
        <w:tc>
          <w:tcPr>
            <w:tcW w:type="dxa" w:w="4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41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Every outbound template ends with Reply STOP to unsubscribe</w:t>
            </w:r>
          </w:p>
        </w:tc>
        <w:tc>
          <w:tcPr>
            <w:tcW w:type="dxa" w:w="11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91C1C"/>
                <w:sz w:val="16"/>
                <w:szCs w:val="16"/>
              </w:rPr>
              <w:t xml:space="preserve">CRITICAL</w:t>
            </w:r>
          </w:p>
        </w:tc>
        <w:tc>
          <w:tcPr>
            <w:tcW w:type="dxa" w:w="21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Read all approved templates — STOP line present in each</w:t>
            </w:r>
          </w:p>
        </w:tc>
      </w:tr>
      <w:tr>
        <w:tc>
          <w:tcPr>
            <w:tcW w:type="dxa" w:w="4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42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Welcome message includes link to Terms of Service</w:t>
            </w:r>
          </w:p>
        </w:tc>
        <w:tc>
          <w:tcPr>
            <w:tcW w:type="dxa" w:w="11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45309"/>
                <w:sz w:val="16"/>
                <w:szCs w:val="16"/>
              </w:rPr>
              <w:t xml:space="preserve">HIGH</w:t>
            </w:r>
          </w:p>
        </w:tc>
        <w:tc>
          <w:tcPr>
            <w:tcW w:type="dxa" w:w="21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Trigger onboarding as new user — check message content</w:t>
            </w:r>
          </w:p>
        </w:tc>
      </w:tr>
      <w:tr>
        <w:tc>
          <w:tcPr>
            <w:tcW w:type="dxa" w:w="4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43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No messages sent between 10pm and 8am IST</w:t>
            </w:r>
          </w:p>
        </w:tc>
        <w:tc>
          <w:tcPr>
            <w:tcW w:type="dxa" w:w="11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45309"/>
                <w:sz w:val="16"/>
                <w:szCs w:val="16"/>
              </w:rPr>
              <w:t xml:space="preserve">HIGH</w:t>
            </w:r>
          </w:p>
        </w:tc>
        <w:tc>
          <w:tcPr>
            <w:tcW w:type="dxa" w:w="21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Review scheduled message logic — time window enforced</w:t>
            </w:r>
          </w:p>
        </w:tc>
      </w:tr>
      <w:tr>
        <w:tc>
          <w:tcPr>
            <w:tcW w:type="dxa" w:w="4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44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WhatsApp opt-in timestamp logged per user separately</w:t>
            </w:r>
          </w:p>
        </w:tc>
        <w:tc>
          <w:tcPr>
            <w:tcW w:type="dxa" w:w="11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45309"/>
                <w:sz w:val="16"/>
                <w:szCs w:val="16"/>
              </w:rPr>
              <w:t xml:space="preserve">HIGH</w:t>
            </w:r>
          </w:p>
        </w:tc>
        <w:tc>
          <w:tcPr>
            <w:tcW w:type="dxa" w:w="21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Check DB after signup — whatsapp_opted_in_at populated</w:t>
            </w:r>
          </w:p>
        </w:tc>
      </w:tr>
      <w:tr>
        <w:tc>
          <w:tcPr>
            <w:tcW w:type="dxa" w:w="4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45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Messaging limit confirmed — 1000 free conversations/month active</w:t>
            </w:r>
          </w:p>
        </w:tc>
        <w:tc>
          <w:tcPr>
            <w:tcW w:type="dxa" w:w="11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4ED8"/>
                <w:sz w:val="16"/>
                <w:szCs w:val="16"/>
              </w:rPr>
              <w:t xml:space="preserve">NORMAL</w:t>
            </w:r>
          </w:p>
        </w:tc>
        <w:tc>
          <w:tcPr>
            <w:tcW w:type="dxa" w:w="21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Check Meta Cloud API dashboard for current limits</w:t>
            </w:r>
          </w:p>
        </w:tc>
      </w:tr>
    </w:tbl>
    <w:p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pBdr>
          <w:bottom w:val="single" w:color="00C896" w:sz="6" w:space="3"/>
        </w:pBdr>
        <w:spacing w:before="400" w:after="120"/>
      </w:pPr>
      <w:r>
        <w:rPr>
          <w:rFonts w:ascii="Arial" w:cs="Arial" w:eastAsia="Arial" w:hAnsi="Arial"/>
          <w:b/>
          <w:bCs/>
          <w:color w:val="111827"/>
          <w:sz w:val="28"/>
          <w:szCs w:val="28"/>
        </w:rPr>
        <w:t xml:space="preserve">5.  Security</w:t>
      </w:r>
    </w:p>
    <w:p>
      <w:pPr>
        <w:spacing w:before="60" w:after="100"/>
      </w:pPr>
      <w:r>
        <w:rPr>
          <w:rFonts w:ascii="Arial" w:cs="Arial" w:eastAsia="Arial" w:hAnsi="Arial"/>
          <w:color w:val="6B7280"/>
          <w:sz w:val="20"/>
          <w:szCs w:val="20"/>
        </w:rPr>
        <w:t xml:space="preserve">Under the IT Act 2000 and DPDP Act 2023, failure to implement reasonable security is a legal liability.</w:t>
      </w:r>
    </w:p>
    <w:p>
      <w:r>
        <w:rPr>
          <w:rFonts w:ascii="Arial" w:cs="Arial" w:eastAsia="Arial" w:hAnsi="Arial"/>
          <w:sz w:val="22"/>
          <w:szCs w:val="22"/>
        </w:rPr>
        <w:t xml:space="preserve"> </w:t>
      </w:r>
    </w:p>
    <w:tbl>
      <w:tblPr>
        <w:tblW w:type="dxa" w:w="8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5200"/>
        <w:gridCol w:w="1100"/>
        <w:gridCol w:w="2180"/>
      </w:tblGrid>
      <w:tr>
        <w:trPr>
          <w:tblHeader/>
        </w:trPr>
        <w:tc>
          <w:tcPr>
            <w:tcW w:type="dxa" w:w="4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1182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1182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Task</w:t>
            </w:r>
          </w:p>
        </w:tc>
        <w:tc>
          <w:tcPr>
            <w:tcW w:type="dxa" w:w="11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1182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Priority</w:t>
            </w:r>
          </w:p>
        </w:tc>
        <w:tc>
          <w:tcPr>
            <w:tcW w:type="dxa" w:w="21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1182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How to verify</w:t>
            </w:r>
          </w:p>
        </w:tc>
      </w:tr>
      <w:tr>
        <w:tc>
          <w:tcPr>
            <w:tcW w:type="dxa" w:w="4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46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TLS enforced on Vercel — HTTP redirects to HTTPS automatically</w:t>
            </w:r>
          </w:p>
        </w:tc>
        <w:tc>
          <w:tcPr>
            <w:tcW w:type="dxa" w:w="11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91C1C"/>
                <w:sz w:val="16"/>
                <w:szCs w:val="16"/>
              </w:rPr>
              <w:t xml:space="preserve">CRITICAL</w:t>
            </w:r>
          </w:p>
        </w:tc>
        <w:tc>
          <w:tcPr>
            <w:tcW w:type="dxa" w:w="21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Visit http://upisense.app — redirects to https://</w:t>
            </w:r>
          </w:p>
        </w:tc>
      </w:tr>
      <w:tr>
        <w:tc>
          <w:tcPr>
            <w:tcW w:type="dxa" w:w="4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47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TLS enforced on Railway backend — all endpoints HTTPS only</w:t>
            </w:r>
          </w:p>
        </w:tc>
        <w:tc>
          <w:tcPr>
            <w:tcW w:type="dxa" w:w="11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91C1C"/>
                <w:sz w:val="16"/>
                <w:szCs w:val="16"/>
              </w:rPr>
              <w:t xml:space="preserve">CRITICAL</w:t>
            </w:r>
          </w:p>
        </w:tc>
        <w:tc>
          <w:tcPr>
            <w:tcW w:type="dxa" w:w="21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Visit backend URL with http:// — redirects or rejects</w:t>
            </w:r>
          </w:p>
        </w:tc>
      </w:tr>
      <w:tr>
        <w:tc>
          <w:tcPr>
            <w:tcW w:type="dxa" w:w="4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48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Row Level Security (RLS) enabled on ALL Supabase tables</w:t>
            </w:r>
          </w:p>
        </w:tc>
        <w:tc>
          <w:tcPr>
            <w:tcW w:type="dxa" w:w="11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91C1C"/>
                <w:sz w:val="16"/>
                <w:szCs w:val="16"/>
              </w:rPr>
              <w:t xml:space="preserve">CRITICAL</w:t>
            </w:r>
          </w:p>
        </w:tc>
        <w:tc>
          <w:tcPr>
            <w:tcW w:type="dxa" w:w="21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Supabase dashboard — RLS toggle ON for every table</w:t>
            </w:r>
          </w:p>
        </w:tc>
      </w:tr>
      <w:tr>
        <w:tc>
          <w:tcPr>
            <w:tcW w:type="dxa" w:w="4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49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RLS tested — User A cannot read User B's transactions</w:t>
            </w:r>
          </w:p>
        </w:tc>
        <w:tc>
          <w:tcPr>
            <w:tcW w:type="dxa" w:w="11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91C1C"/>
                <w:sz w:val="16"/>
                <w:szCs w:val="16"/>
              </w:rPr>
              <w:t xml:space="preserve">CRITICAL</w:t>
            </w:r>
          </w:p>
        </w:tc>
        <w:tc>
          <w:tcPr>
            <w:tcW w:type="dxa" w:w="21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Two test accounts — query one's data from other's session — fails</w:t>
            </w:r>
          </w:p>
        </w:tc>
      </w:tr>
      <w:tr>
        <w:tc>
          <w:tcPr>
            <w:tcW w:type="dxa" w:w="4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50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No Supabase service key in frontend code or public repo</w:t>
            </w:r>
          </w:p>
        </w:tc>
        <w:tc>
          <w:tcPr>
            <w:tcW w:type="dxa" w:w="11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91C1C"/>
                <w:sz w:val="16"/>
                <w:szCs w:val="16"/>
              </w:rPr>
              <w:t xml:space="preserve">CRITICAL</w:t>
            </w:r>
          </w:p>
        </w:tc>
        <w:tc>
          <w:tcPr>
            <w:tcW w:type="dxa" w:w="21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Search codebase for 'service_role' — not in frontend files</w:t>
            </w:r>
          </w:p>
        </w:tc>
      </w:tr>
      <w:tr>
        <w:tc>
          <w:tcPr>
            <w:tcW w:type="dxa" w:w="4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51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60-second raw message deletion implemented and verified in code</w:t>
            </w:r>
          </w:p>
        </w:tc>
        <w:tc>
          <w:tcPr>
            <w:tcW w:type="dxa" w:w="11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91C1C"/>
                <w:sz w:val="16"/>
                <w:szCs w:val="16"/>
              </w:rPr>
              <w:t xml:space="preserve">CRITICAL</w:t>
            </w:r>
          </w:p>
        </w:tc>
        <w:tc>
          <w:tcPr>
            <w:tcW w:type="dxa" w:w="21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Forward test notification — wait 90s — check DB — raw text gone</w:t>
            </w:r>
          </w:p>
        </w:tc>
      </w:tr>
      <w:tr>
        <w:tc>
          <w:tcPr>
            <w:tcW w:type="dxa" w:w="4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52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OTP expiry set to 10 minutes maximum</w:t>
            </w:r>
          </w:p>
        </w:tc>
        <w:tc>
          <w:tcPr>
            <w:tcW w:type="dxa" w:w="11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45309"/>
                <w:sz w:val="16"/>
                <w:szCs w:val="16"/>
              </w:rPr>
              <w:t xml:space="preserve">HIGH</w:t>
            </w:r>
          </w:p>
        </w:tc>
        <w:tc>
          <w:tcPr>
            <w:tcW w:type="dxa" w:w="21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Generate OTP — wait 11 minutes — try to use — rejected</w:t>
            </w:r>
          </w:p>
        </w:tc>
      </w:tr>
      <w:tr>
        <w:tc>
          <w:tcPr>
            <w:tcW w:type="dxa" w:w="4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53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OTP rate limiting: max 5 per phone number per hour</w:t>
            </w:r>
          </w:p>
        </w:tc>
        <w:tc>
          <w:tcPr>
            <w:tcW w:type="dxa" w:w="11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45309"/>
                <w:sz w:val="16"/>
                <w:szCs w:val="16"/>
              </w:rPr>
              <w:t xml:space="preserve">HIGH</w:t>
            </w:r>
          </w:p>
        </w:tc>
        <w:tc>
          <w:tcPr>
            <w:tcW w:type="dxa" w:w="21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Request 6 OTPs rapidly for same number — 6th blocked</w:t>
            </w:r>
          </w:p>
        </w:tc>
      </w:tr>
      <w:tr>
        <w:tc>
          <w:tcPr>
            <w:tcW w:type="dxa" w:w="4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54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API rate limiting on all backend endpoints</w:t>
            </w:r>
          </w:p>
        </w:tc>
        <w:tc>
          <w:tcPr>
            <w:tcW w:type="dxa" w:w="11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45309"/>
                <w:sz w:val="16"/>
                <w:szCs w:val="16"/>
              </w:rPr>
              <w:t xml:space="preserve">HIGH</w:t>
            </w:r>
          </w:p>
        </w:tc>
        <w:tc>
          <w:tcPr>
            <w:tcW w:type="dxa" w:w="21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100 rapid requests to any endpoint — later ones throttled</w:t>
            </w:r>
          </w:p>
        </w:tc>
      </w:tr>
      <w:tr>
        <w:tc>
          <w:tcPr>
            <w:tcW w:type="dxa" w:w="4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55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Phone and WhatsApp numbers NOT appearing in application logs</w:t>
            </w:r>
          </w:p>
        </w:tc>
        <w:tc>
          <w:tcPr>
            <w:tcW w:type="dxa" w:w="11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45309"/>
                <w:sz w:val="16"/>
                <w:szCs w:val="16"/>
              </w:rPr>
              <w:t xml:space="preserve">HIGH</w:t>
            </w:r>
          </w:p>
        </w:tc>
        <w:tc>
          <w:tcPr>
            <w:tcW w:type="dxa" w:w="21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Trigger transaction — check Railway logs — no phone numbers</w:t>
            </w:r>
          </w:p>
        </w:tc>
      </w:tr>
      <w:tr>
        <w:tc>
          <w:tcPr>
            <w:tcW w:type="dxa" w:w="4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56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Supabase automated daily backups enabled</w:t>
            </w:r>
          </w:p>
        </w:tc>
        <w:tc>
          <w:tcPr>
            <w:tcW w:type="dxa" w:w="11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45309"/>
                <w:sz w:val="16"/>
                <w:szCs w:val="16"/>
              </w:rPr>
              <w:t xml:space="preserve">HIGH</w:t>
            </w:r>
          </w:p>
        </w:tc>
        <w:tc>
          <w:tcPr>
            <w:tcW w:type="dxa" w:w="21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Supabase dashboard — Backups section — daily schedule on</w:t>
            </w:r>
          </w:p>
        </w:tc>
      </w:tr>
      <w:tr>
        <w:tc>
          <w:tcPr>
            <w:tcW w:type="dxa" w:w="4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57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Backup restoration tested at least once</w:t>
            </w:r>
          </w:p>
        </w:tc>
        <w:tc>
          <w:tcPr>
            <w:tcW w:type="dxa" w:w="11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45309"/>
                <w:sz w:val="16"/>
                <w:szCs w:val="16"/>
              </w:rPr>
              <w:t xml:space="preserve">HIGH</w:t>
            </w:r>
          </w:p>
        </w:tc>
        <w:tc>
          <w:tcPr>
            <w:tcW w:type="dxa" w:w="21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Restore backup to test project — confirm data intact</w:t>
            </w:r>
          </w:p>
        </w:tc>
      </w:tr>
      <w:tr>
        <w:tc>
          <w:tcPr>
            <w:tcW w:type="dxa" w:w="4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58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All environment variables in Railway — none hardcoded in source</w:t>
            </w:r>
          </w:p>
        </w:tc>
        <w:tc>
          <w:tcPr>
            <w:tcW w:type="dxa" w:w="11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91C1C"/>
                <w:sz w:val="16"/>
                <w:szCs w:val="16"/>
              </w:rPr>
              <w:t xml:space="preserve">CRITICAL</w:t>
            </w:r>
          </w:p>
        </w:tc>
        <w:tc>
          <w:tcPr>
            <w:tcW w:type="dxa" w:w="21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Search codebase for API keys — none appear in code</w:t>
            </w:r>
          </w:p>
        </w:tc>
      </w:tr>
      <w:tr>
        <w:tc>
          <w:tcPr>
            <w:tcW w:type="dxa" w:w="4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59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GitHub repo is private — not publicly accessible</w:t>
            </w:r>
          </w:p>
        </w:tc>
        <w:tc>
          <w:tcPr>
            <w:tcW w:type="dxa" w:w="11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91C1C"/>
                <w:sz w:val="16"/>
                <w:szCs w:val="16"/>
              </w:rPr>
              <w:t xml:space="preserve">CRITICAL</w:t>
            </w:r>
          </w:p>
        </w:tc>
        <w:tc>
          <w:tcPr>
            <w:tcW w:type="dxa" w:w="21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Visit repo URL while logged out — shows 404 or private</w:t>
            </w:r>
          </w:p>
        </w:tc>
      </w:tr>
      <w:tr>
        <w:tc>
          <w:tcPr>
            <w:tcW w:type="dxa" w:w="4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60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Sentry error monitoring integrated and receiving test errors</w:t>
            </w:r>
          </w:p>
        </w:tc>
        <w:tc>
          <w:tcPr>
            <w:tcW w:type="dxa" w:w="11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45309"/>
                <w:sz w:val="16"/>
                <w:szCs w:val="16"/>
              </w:rPr>
              <w:t xml:space="preserve">HIGH</w:t>
            </w:r>
          </w:p>
        </w:tc>
        <w:tc>
          <w:tcPr>
            <w:tcW w:type="dxa" w:w="21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Trigger test error — appears in Sentry dashboard</w:t>
            </w:r>
          </w:p>
        </w:tc>
      </w:tr>
      <w:tr>
        <w:tc>
          <w:tcPr>
            <w:tcW w:type="dxa" w:w="4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61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UptimeRobot monitoring set up for website and webhook URL</w:t>
            </w:r>
          </w:p>
        </w:tc>
        <w:tc>
          <w:tcPr>
            <w:tcW w:type="dxa" w:w="11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45309"/>
                <w:sz w:val="16"/>
                <w:szCs w:val="16"/>
              </w:rPr>
              <w:t xml:space="preserve">HIGH</w:t>
            </w:r>
          </w:p>
        </w:tc>
        <w:tc>
          <w:tcPr>
            <w:tcW w:type="dxa" w:w="21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UptimeRobot shows both monitors active and green</w:t>
            </w:r>
          </w:p>
        </w:tc>
      </w:tr>
    </w:tbl>
    <w:p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pBdr>
          <w:bottom w:val="single" w:color="00C896" w:sz="6" w:space="3"/>
        </w:pBdr>
        <w:spacing w:before="400" w:after="120"/>
      </w:pPr>
      <w:r>
        <w:rPr>
          <w:rFonts w:ascii="Arial" w:cs="Arial" w:eastAsia="Arial" w:hAnsi="Arial"/>
          <w:b/>
          <w:bCs/>
          <w:color w:val="111827"/>
          <w:sz w:val="28"/>
          <w:szCs w:val="28"/>
        </w:rPr>
        <w:t xml:space="preserve">6.  Product &amp; User Experience</w:t>
      </w:r>
    </w:p>
    <w:p>
      <w:pPr>
        <w:spacing w:before="60" w:after="100"/>
      </w:pPr>
      <w:r>
        <w:rPr>
          <w:rFonts w:ascii="Arial" w:cs="Arial" w:eastAsia="Arial" w:hAnsi="Arial"/>
          <w:color w:val="6B7280"/>
          <w:sz w:val="20"/>
          <w:szCs w:val="20"/>
        </w:rPr>
        <w:t xml:space="preserve">Test every user-facing flow on a real device. Not an emulator — a real phone.</w:t>
      </w:r>
    </w:p>
    <w:p>
      <w:r>
        <w:rPr>
          <w:rFonts w:ascii="Arial" w:cs="Arial" w:eastAsia="Arial" w:hAnsi="Arial"/>
          <w:sz w:val="22"/>
          <w:szCs w:val="22"/>
        </w:rPr>
        <w:t xml:space="preserve"> </w:t>
      </w:r>
    </w:p>
    <w:tbl>
      <w:tblPr>
        <w:tblW w:type="dxa" w:w="8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5200"/>
        <w:gridCol w:w="1100"/>
        <w:gridCol w:w="2180"/>
      </w:tblGrid>
      <w:tr>
        <w:trPr>
          <w:tblHeader/>
        </w:trPr>
        <w:tc>
          <w:tcPr>
            <w:tcW w:type="dxa" w:w="4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1182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1182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Task</w:t>
            </w:r>
          </w:p>
        </w:tc>
        <w:tc>
          <w:tcPr>
            <w:tcW w:type="dxa" w:w="11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1182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Priority</w:t>
            </w:r>
          </w:p>
        </w:tc>
        <w:tc>
          <w:tcPr>
            <w:tcW w:type="dxa" w:w="21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1182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How to verify</w:t>
            </w:r>
          </w:p>
        </w:tc>
      </w:tr>
      <w:tr>
        <w:tc>
          <w:tcPr>
            <w:tcW w:type="dxa" w:w="4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62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Full signup flow tested on iPhone (Safari)</w:t>
            </w:r>
          </w:p>
        </w:tc>
        <w:tc>
          <w:tcPr>
            <w:tcW w:type="dxa" w:w="11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91C1C"/>
                <w:sz w:val="16"/>
                <w:szCs w:val="16"/>
              </w:rPr>
              <w:t xml:space="preserve">CRITICAL</w:t>
            </w:r>
          </w:p>
        </w:tc>
        <w:tc>
          <w:tcPr>
            <w:tcW w:type="dxa" w:w="21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Complete signup on real iPhone — dashboard loads</w:t>
            </w:r>
          </w:p>
        </w:tc>
      </w:tr>
      <w:tr>
        <w:tc>
          <w:tcPr>
            <w:tcW w:type="dxa" w:w="4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63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Full signup flow tested on Android (Chrome)</w:t>
            </w:r>
          </w:p>
        </w:tc>
        <w:tc>
          <w:tcPr>
            <w:tcW w:type="dxa" w:w="11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91C1C"/>
                <w:sz w:val="16"/>
                <w:szCs w:val="16"/>
              </w:rPr>
              <w:t xml:space="preserve">CRITICAL</w:t>
            </w:r>
          </w:p>
        </w:tc>
        <w:tc>
          <w:tcPr>
            <w:tcW w:type="dxa" w:w="21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Complete signup on real Android — dashboard loads</w:t>
            </w:r>
          </w:p>
        </w:tc>
      </w:tr>
      <w:tr>
        <w:tc>
          <w:tcPr>
            <w:tcW w:type="dxa" w:w="4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64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UPI notification forwarding tested on iPhone</w:t>
            </w:r>
          </w:p>
        </w:tc>
        <w:tc>
          <w:tcPr>
            <w:tcW w:type="dxa" w:w="11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91C1C"/>
                <w:sz w:val="16"/>
                <w:szCs w:val="16"/>
              </w:rPr>
              <w:t xml:space="preserve">CRITICAL</w:t>
            </w:r>
          </w:p>
        </w:tc>
        <w:tc>
          <w:tcPr>
            <w:tcW w:type="dxa" w:w="21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Forward GPay notification from iPhone — appears in under 10s</w:t>
            </w:r>
          </w:p>
        </w:tc>
      </w:tr>
      <w:tr>
        <w:tc>
          <w:tcPr>
            <w:tcW w:type="dxa" w:w="4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65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UPI notification forwarding tested on Android</w:t>
            </w:r>
          </w:p>
        </w:tc>
        <w:tc>
          <w:tcPr>
            <w:tcW w:type="dxa" w:w="11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91C1C"/>
                <w:sz w:val="16"/>
                <w:szCs w:val="16"/>
              </w:rPr>
              <w:t xml:space="preserve">CRITICAL</w:t>
            </w:r>
          </w:p>
        </w:tc>
        <w:tc>
          <w:tcPr>
            <w:tcW w:type="dxa" w:w="21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Forward PhonePe notification from Android — appears in under 10s</w:t>
            </w:r>
          </w:p>
        </w:tc>
      </w:tr>
      <w:tr>
        <w:tc>
          <w:tcPr>
            <w:tcW w:type="dxa" w:w="4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66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Cash payment logging tested: 'I paid 100 to Ramesh'</w:t>
            </w:r>
          </w:p>
        </w:tc>
        <w:tc>
          <w:tcPr>
            <w:tcW w:type="dxa" w:w="11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91C1C"/>
                <w:sz w:val="16"/>
                <w:szCs w:val="16"/>
              </w:rPr>
              <w:t xml:space="preserve">CRITICAL</w:t>
            </w:r>
          </w:p>
        </w:tc>
        <w:tc>
          <w:tcPr>
            <w:tcW w:type="dxa" w:w="21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Send cash message — transaction appears on dashboard</w:t>
            </w:r>
          </w:p>
        </w:tc>
      </w:tr>
      <w:tr>
        <w:tc>
          <w:tcPr>
            <w:tcW w:type="dxa" w:w="4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67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IOU tracking tested: 'Rohan owes me 300'</w:t>
            </w:r>
          </w:p>
        </w:tc>
        <w:tc>
          <w:tcPr>
            <w:tcW w:type="dxa" w:w="11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91C1C"/>
                <w:sz w:val="16"/>
                <w:szCs w:val="16"/>
              </w:rPr>
              <w:t xml:space="preserve">CRITICAL</w:t>
            </w:r>
          </w:p>
        </w:tc>
        <w:tc>
          <w:tcPr>
            <w:tcW w:type="dxa" w:w="21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Send IOU message — appears on Debts page correctly</w:t>
            </w:r>
          </w:p>
        </w:tc>
      </w:tr>
      <w:tr>
        <w:tc>
          <w:tcPr>
            <w:tcW w:type="dxa" w:w="4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68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IOU settlement tested: 'Rohan returned my 300'</w:t>
            </w:r>
          </w:p>
        </w:tc>
        <w:tc>
          <w:tcPr>
            <w:tcW w:type="dxa" w:w="11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91C1C"/>
                <w:sz w:val="16"/>
                <w:szCs w:val="16"/>
              </w:rPr>
              <w:t xml:space="preserve">CRITICAL</w:t>
            </w:r>
          </w:p>
        </w:tc>
        <w:tc>
          <w:tcPr>
            <w:tcW w:type="dxa" w:w="21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Send settlement — Debts page balance updates to zero</w:t>
            </w:r>
          </w:p>
        </w:tc>
      </w:tr>
      <w:tr>
        <w:tc>
          <w:tcPr>
            <w:tcW w:type="dxa" w:w="4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69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Merchant memory works — same UPI ID not asked twice</w:t>
            </w:r>
          </w:p>
        </w:tc>
        <w:tc>
          <w:tcPr>
            <w:tcW w:type="dxa" w:w="11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45309"/>
                <w:sz w:val="16"/>
                <w:szCs w:val="16"/>
              </w:rPr>
              <w:t xml:space="preserve">HIGH</w:t>
            </w:r>
          </w:p>
        </w:tc>
        <w:tc>
          <w:tcPr>
            <w:tcW w:type="dxa" w:w="21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Forward same merchant twice — category asked only on first</w:t>
            </w:r>
          </w:p>
        </w:tc>
      </w:tr>
      <w:tr>
        <w:tc>
          <w:tcPr>
            <w:tcW w:type="dxa" w:w="4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70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Dashboard loads under 3 seconds on mobile connection</w:t>
            </w:r>
          </w:p>
        </w:tc>
        <w:tc>
          <w:tcPr>
            <w:tcW w:type="dxa" w:w="11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45309"/>
                <w:sz w:val="16"/>
                <w:szCs w:val="16"/>
              </w:rPr>
              <w:t xml:space="preserve">HIGH</w:t>
            </w:r>
          </w:p>
        </w:tc>
        <w:tc>
          <w:tcPr>
            <w:tcW w:type="dxa" w:w="21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Open on 4G mobile — Chrome DevTools shows under 3s</w:t>
            </w:r>
          </w:p>
        </w:tc>
      </w:tr>
      <w:tr>
        <w:tc>
          <w:tcPr>
            <w:tcW w:type="dxa" w:w="4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71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All pages mobile responsive — no horizontal scroll</w:t>
            </w:r>
          </w:p>
        </w:tc>
        <w:tc>
          <w:tcPr>
            <w:tcW w:type="dxa" w:w="11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45309"/>
                <w:sz w:val="16"/>
                <w:szCs w:val="16"/>
              </w:rPr>
              <w:t xml:space="preserve">HIGH</w:t>
            </w:r>
          </w:p>
        </w:tc>
        <w:tc>
          <w:tcPr>
            <w:tcW w:type="dxa" w:w="21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View every page at 375px width — nothing overflows</w:t>
            </w:r>
          </w:p>
        </w:tc>
      </w:tr>
      <w:tr>
        <w:tc>
          <w:tcPr>
            <w:tcW w:type="dxa" w:w="4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72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Empty state shown correctly for new user with zero transactions</w:t>
            </w:r>
          </w:p>
        </w:tc>
        <w:tc>
          <w:tcPr>
            <w:tcW w:type="dxa" w:w="11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45309"/>
                <w:sz w:val="16"/>
                <w:szCs w:val="16"/>
              </w:rPr>
              <w:t xml:space="preserve">HIGH</w:t>
            </w:r>
          </w:p>
        </w:tc>
        <w:tc>
          <w:tcPr>
            <w:tcW w:type="dxa" w:w="21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New account — dashboard shows empty state, not blank/error</w:t>
            </w:r>
          </w:p>
        </w:tc>
      </w:tr>
      <w:tr>
        <w:tc>
          <w:tcPr>
            <w:tcW w:type="dxa" w:w="4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73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Search and filter on Transactions page works correctly</w:t>
            </w:r>
          </w:p>
        </w:tc>
        <w:tc>
          <w:tcPr>
            <w:tcW w:type="dxa" w:w="11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45309"/>
                <w:sz w:val="16"/>
                <w:szCs w:val="16"/>
              </w:rPr>
              <w:t xml:space="preserve">HIGH</w:t>
            </w:r>
          </w:p>
        </w:tc>
        <w:tc>
          <w:tcPr>
            <w:tcW w:type="dxa" w:w="21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Search a merchant name — correct results appear</w:t>
            </w:r>
          </w:p>
        </w:tc>
      </w:tr>
      <w:tr>
        <w:tc>
          <w:tcPr>
            <w:tcW w:type="dxa" w:w="4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74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Account deletion shows confirmation dialog before deleting</w:t>
            </w:r>
          </w:p>
        </w:tc>
        <w:tc>
          <w:tcPr>
            <w:tcW w:type="dxa" w:w="11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91C1C"/>
                <w:sz w:val="16"/>
                <w:szCs w:val="16"/>
              </w:rPr>
              <w:t xml:space="preserve">CRITICAL</w:t>
            </w:r>
          </w:p>
        </w:tc>
        <w:tc>
          <w:tcPr>
            <w:tcW w:type="dxa" w:w="21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Initiate delete — dialog appears — confirm — account gone</w:t>
            </w:r>
          </w:p>
        </w:tc>
      </w:tr>
      <w:tr>
        <w:tc>
          <w:tcPr>
            <w:tcW w:type="dxa" w:w="4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75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Error states handled gracefully — no raw errors shown to users</w:t>
            </w:r>
          </w:p>
        </w:tc>
        <w:tc>
          <w:tcPr>
            <w:tcW w:type="dxa" w:w="11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45309"/>
                <w:sz w:val="16"/>
                <w:szCs w:val="16"/>
              </w:rPr>
              <w:t xml:space="preserve">HIGH</w:t>
            </w:r>
          </w:p>
        </w:tc>
        <w:tc>
          <w:tcPr>
            <w:tcW w:type="dxa" w:w="21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Trigger bad webhook payload — no technical error sent to user</w:t>
            </w:r>
          </w:p>
        </w:tc>
      </w:tr>
      <w:tr>
        <w:tc>
          <w:tcPr>
            <w:tcW w:type="dxa" w:w="4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76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Sunday weekly report tested by triggering manually</w:t>
            </w:r>
          </w:p>
        </w:tc>
        <w:tc>
          <w:tcPr>
            <w:tcW w:type="dxa" w:w="11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45309"/>
                <w:sz w:val="16"/>
                <w:szCs w:val="16"/>
              </w:rPr>
              <w:t xml:space="preserve">HIGH</w:t>
            </w:r>
          </w:p>
        </w:tc>
        <w:tc>
          <w:tcPr>
            <w:tcW w:type="dxa" w:w="21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Trigger report — WhatsApp message received with correct data</w:t>
            </w:r>
          </w:p>
        </w:tc>
      </w:tr>
    </w:tbl>
    <w:p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pBdr>
          <w:bottom w:val="single" w:color="00C896" w:sz="6" w:space="3"/>
        </w:pBdr>
        <w:spacing w:before="400" w:after="120"/>
      </w:pPr>
      <w:r>
        <w:rPr>
          <w:rFonts w:ascii="Arial" w:cs="Arial" w:eastAsia="Arial" w:hAnsi="Arial"/>
          <w:b/>
          <w:bCs/>
          <w:color w:val="111827"/>
          <w:sz w:val="28"/>
          <w:szCs w:val="28"/>
        </w:rPr>
        <w:t xml:space="preserve">7.  Website &amp; Landing Page</w:t>
      </w:r>
    </w:p>
    <w:p>
      <w:r>
        <w:rPr>
          <w:rFonts w:ascii="Arial" w:cs="Arial" w:eastAsia="Arial" w:hAnsi="Arial"/>
          <w:sz w:val="22"/>
          <w:szCs w:val="22"/>
        </w:rPr>
        <w:t xml:space="preserve"> </w:t>
      </w:r>
    </w:p>
    <w:tbl>
      <w:tblPr>
        <w:tblW w:type="dxa" w:w="8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5200"/>
        <w:gridCol w:w="1100"/>
        <w:gridCol w:w="2180"/>
      </w:tblGrid>
      <w:tr>
        <w:trPr>
          <w:tblHeader/>
        </w:trPr>
        <w:tc>
          <w:tcPr>
            <w:tcW w:type="dxa" w:w="4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1182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1182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Task</w:t>
            </w:r>
          </w:p>
        </w:tc>
        <w:tc>
          <w:tcPr>
            <w:tcW w:type="dxa" w:w="11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1182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Priority</w:t>
            </w:r>
          </w:p>
        </w:tc>
        <w:tc>
          <w:tcPr>
            <w:tcW w:type="dxa" w:w="21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1182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How to verify</w:t>
            </w:r>
          </w:p>
        </w:tc>
      </w:tr>
      <w:tr>
        <w:tc>
          <w:tcPr>
            <w:tcW w:type="dxa" w:w="4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77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upisense.app loads and SSL certificate is valid (padlock shown)</w:t>
            </w:r>
          </w:p>
        </w:tc>
        <w:tc>
          <w:tcPr>
            <w:tcW w:type="dxa" w:w="11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91C1C"/>
                <w:sz w:val="16"/>
                <w:szCs w:val="16"/>
              </w:rPr>
              <w:t xml:space="preserve">CRITICAL</w:t>
            </w:r>
          </w:p>
        </w:tc>
        <w:tc>
          <w:tcPr>
            <w:tcW w:type="dxa" w:w="21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Visit upisense.app — green padlock visible</w:t>
            </w:r>
          </w:p>
        </w:tc>
      </w:tr>
      <w:tr>
        <w:tc>
          <w:tcPr>
            <w:tcW w:type="dxa" w:w="4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78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Landing page CTA links correctly to signup flow</w:t>
            </w:r>
          </w:p>
        </w:tc>
        <w:tc>
          <w:tcPr>
            <w:tcW w:type="dxa" w:w="11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91C1C"/>
                <w:sz w:val="16"/>
                <w:szCs w:val="16"/>
              </w:rPr>
              <w:t xml:space="preserve">CRITICAL</w:t>
            </w:r>
          </w:p>
        </w:tc>
        <w:tc>
          <w:tcPr>
            <w:tcW w:type="dxa" w:w="21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Click CTA — arrives at signup page</w:t>
            </w:r>
          </w:p>
        </w:tc>
      </w:tr>
      <w:tr>
        <w:tc>
          <w:tcPr>
            <w:tcW w:type="dxa" w:w="4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79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Landing page claims are all accurate — nothing you cannot back up</w:t>
            </w:r>
          </w:p>
        </w:tc>
        <w:tc>
          <w:tcPr>
            <w:tcW w:type="dxa" w:w="11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45309"/>
                <w:sz w:val="16"/>
                <w:szCs w:val="16"/>
              </w:rPr>
              <w:t xml:space="preserve">HIGH</w:t>
            </w:r>
          </w:p>
        </w:tc>
        <w:tc>
          <w:tcPr>
            <w:tcW w:type="dxa" w:w="21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Read every sentence on landing page — all claims are true</w:t>
            </w:r>
          </w:p>
        </w:tc>
      </w:tr>
      <w:tr>
        <w:tc>
          <w:tcPr>
            <w:tcW w:type="dxa" w:w="4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80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Not a bank or financial advisor disclaimer visible on landing page</w:t>
            </w:r>
          </w:p>
        </w:tc>
        <w:tc>
          <w:tcPr>
            <w:tcW w:type="dxa" w:w="11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91C1C"/>
                <w:sz w:val="16"/>
                <w:szCs w:val="16"/>
              </w:rPr>
              <w:t xml:space="preserve">CRITICAL</w:t>
            </w:r>
          </w:p>
        </w:tc>
        <w:tc>
          <w:tcPr>
            <w:tcW w:type="dxa" w:w="21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Visible without scrolling far — in hero or footer</w:t>
            </w:r>
          </w:p>
        </w:tc>
      </w:tr>
      <w:tr>
        <w:tc>
          <w:tcPr>
            <w:tcW w:type="dxa" w:w="4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81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Footer on landing page has Privacy Policy and Terms links</w:t>
            </w:r>
          </w:p>
        </w:tc>
        <w:tc>
          <w:tcPr>
            <w:tcW w:type="dxa" w:w="11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91C1C"/>
                <w:sz w:val="16"/>
                <w:szCs w:val="16"/>
              </w:rPr>
              <w:t xml:space="preserve">CRITICAL</w:t>
            </w:r>
          </w:p>
        </w:tc>
        <w:tc>
          <w:tcPr>
            <w:tcW w:type="dxa" w:w="21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Check footer — both links present and working</w:t>
            </w:r>
          </w:p>
        </w:tc>
      </w:tr>
      <w:tr>
        <w:tc>
          <w:tcPr>
            <w:tcW w:type="dxa" w:w="4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82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Footer on dashboard has Privacy Policy and Terms links</w:t>
            </w:r>
          </w:p>
        </w:tc>
        <w:tc>
          <w:tcPr>
            <w:tcW w:type="dxa" w:w="11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91C1C"/>
                <w:sz w:val="16"/>
                <w:szCs w:val="16"/>
              </w:rPr>
              <w:t xml:space="preserve">CRITICAL</w:t>
            </w:r>
          </w:p>
        </w:tc>
        <w:tc>
          <w:tcPr>
            <w:tcW w:type="dxa" w:w="21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Login — check dashboard footer — both links present</w:t>
            </w:r>
          </w:p>
        </w:tc>
      </w:tr>
      <w:tr>
        <w:tc>
          <w:tcPr>
            <w:tcW w:type="dxa" w:w="4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83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Privacy Policy and Terms load without login in incognito</w:t>
            </w:r>
          </w:p>
        </w:tc>
        <w:tc>
          <w:tcPr>
            <w:tcW w:type="dxa" w:w="11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91C1C"/>
                <w:sz w:val="16"/>
                <w:szCs w:val="16"/>
              </w:rPr>
              <w:t xml:space="preserve">CRITICAL</w:t>
            </w:r>
          </w:p>
        </w:tc>
        <w:tc>
          <w:tcPr>
            <w:tcW w:type="dxa" w:w="21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Open /privacy and /terms in incognito — both load</w:t>
            </w:r>
          </w:p>
        </w:tc>
      </w:tr>
      <w:tr>
        <w:tc>
          <w:tcPr>
            <w:tcW w:type="dxa" w:w="4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84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Grievance Officer details reachable within 2 clicks from homepage</w:t>
            </w:r>
          </w:p>
        </w:tc>
        <w:tc>
          <w:tcPr>
            <w:tcW w:type="dxa" w:w="11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45309"/>
                <w:sz w:val="16"/>
                <w:szCs w:val="16"/>
              </w:rPr>
              <w:t xml:space="preserve">HIGH</w:t>
            </w:r>
          </w:p>
        </w:tc>
        <w:tc>
          <w:tcPr>
            <w:tcW w:type="dxa" w:w="21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From homepage — reach officer name and email in 2 clicks</w:t>
            </w:r>
          </w:p>
        </w:tc>
      </w:tr>
      <w:tr>
        <w:tc>
          <w:tcPr>
            <w:tcW w:type="dxa" w:w="4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85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No placeholder text remaining — no [Your Name] or [Your Address]</w:t>
            </w:r>
          </w:p>
        </w:tc>
        <w:tc>
          <w:tcPr>
            <w:tcW w:type="dxa" w:w="11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91C1C"/>
                <w:sz w:val="16"/>
                <w:szCs w:val="16"/>
              </w:rPr>
              <w:t xml:space="preserve">CRITICAL</w:t>
            </w:r>
          </w:p>
        </w:tc>
        <w:tc>
          <w:tcPr>
            <w:tcW w:type="dxa" w:w="21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Search entire site for '[' — no placeholders remain</w:t>
            </w:r>
          </w:p>
        </w:tc>
      </w:tr>
      <w:tr>
        <w:tc>
          <w:tcPr>
            <w:tcW w:type="dxa" w:w="4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86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Support contact (support@upisense.app) findable by users</w:t>
            </w:r>
          </w:p>
        </w:tc>
        <w:tc>
          <w:tcPr>
            <w:tcW w:type="dxa" w:w="11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45309"/>
                <w:sz w:val="16"/>
                <w:szCs w:val="16"/>
              </w:rPr>
              <w:t xml:space="preserve">HIGH</w:t>
            </w:r>
          </w:p>
        </w:tc>
        <w:tc>
          <w:tcPr>
            <w:tcW w:type="dxa" w:w="21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User can find support email without knowing it in advance</w:t>
            </w:r>
          </w:p>
        </w:tc>
      </w:tr>
      <w:tr>
        <w:tc>
          <w:tcPr>
            <w:tcW w:type="dxa" w:w="4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87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404 page exists and is styled correctly</w:t>
            </w:r>
          </w:p>
        </w:tc>
        <w:tc>
          <w:tcPr>
            <w:tcW w:type="dxa" w:w="11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4ED8"/>
                <w:sz w:val="16"/>
                <w:szCs w:val="16"/>
              </w:rPr>
              <w:t xml:space="preserve">NORMAL</w:t>
            </w:r>
          </w:p>
        </w:tc>
        <w:tc>
          <w:tcPr>
            <w:tcW w:type="dxa" w:w="21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Visit /nonexistent-page — custom 404 loads</w:t>
            </w:r>
          </w:p>
        </w:tc>
      </w:tr>
    </w:tbl>
    <w:p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pBdr>
          <w:bottom w:val="single" w:color="00C896" w:sz="6" w:space="3"/>
        </w:pBdr>
        <w:spacing w:before="400" w:after="120"/>
      </w:pPr>
      <w:r>
        <w:rPr>
          <w:rFonts w:ascii="Arial" w:cs="Arial" w:eastAsia="Arial" w:hAnsi="Arial"/>
          <w:b/>
          <w:bCs/>
          <w:color w:val="111827"/>
          <w:sz w:val="28"/>
          <w:szCs w:val="28"/>
        </w:rPr>
        <w:t xml:space="preserve">8.  Infrastructure &amp; Reliability</w:t>
      </w:r>
    </w:p>
    <w:p>
      <w:r>
        <w:rPr>
          <w:rFonts w:ascii="Arial" w:cs="Arial" w:eastAsia="Arial" w:hAnsi="Arial"/>
          <w:sz w:val="22"/>
          <w:szCs w:val="22"/>
        </w:rPr>
        <w:t xml:space="preserve"> </w:t>
      </w:r>
    </w:p>
    <w:tbl>
      <w:tblPr>
        <w:tblW w:type="dxa" w:w="8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5200"/>
        <w:gridCol w:w="1100"/>
        <w:gridCol w:w="2180"/>
      </w:tblGrid>
      <w:tr>
        <w:trPr>
          <w:tblHeader/>
        </w:trPr>
        <w:tc>
          <w:tcPr>
            <w:tcW w:type="dxa" w:w="4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1182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1182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Task</w:t>
            </w:r>
          </w:p>
        </w:tc>
        <w:tc>
          <w:tcPr>
            <w:tcW w:type="dxa" w:w="11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1182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Priority</w:t>
            </w:r>
          </w:p>
        </w:tc>
        <w:tc>
          <w:tcPr>
            <w:tcW w:type="dxa" w:w="21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1182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How to verify</w:t>
            </w:r>
          </w:p>
        </w:tc>
      </w:tr>
      <w:tr>
        <w:tc>
          <w:tcPr>
            <w:tcW w:type="dxa" w:w="4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88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Vercel deployment is on Production environment — not Preview</w:t>
            </w:r>
          </w:p>
        </w:tc>
        <w:tc>
          <w:tcPr>
            <w:tcW w:type="dxa" w:w="11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91C1C"/>
                <w:sz w:val="16"/>
                <w:szCs w:val="16"/>
              </w:rPr>
              <w:t xml:space="preserve">CRITICAL</w:t>
            </w:r>
          </w:p>
        </w:tc>
        <w:tc>
          <w:tcPr>
            <w:tcW w:type="dxa" w:w="21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Vercel dashboard — domain points to Production</w:t>
            </w:r>
          </w:p>
        </w:tc>
      </w:tr>
      <w:tr>
        <w:tc>
          <w:tcPr>
            <w:tcW w:type="dxa" w:w="4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89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Custom domain (upisense.app) pointing to Vercel — not Vercel subdomain</w:t>
            </w:r>
          </w:p>
        </w:tc>
        <w:tc>
          <w:tcPr>
            <w:tcW w:type="dxa" w:w="11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91C1C"/>
                <w:sz w:val="16"/>
                <w:szCs w:val="16"/>
              </w:rPr>
              <w:t xml:space="preserve">CRITICAL</w:t>
            </w:r>
          </w:p>
        </w:tc>
        <w:tc>
          <w:tcPr>
            <w:tcW w:type="dxa" w:w="21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URL shows upisense.app — not upisense.vercel.app</w:t>
            </w:r>
          </w:p>
        </w:tc>
      </w:tr>
      <w:tr>
        <w:tc>
          <w:tcPr>
            <w:tcW w:type="dxa" w:w="4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90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Railway backend is running and stable</w:t>
            </w:r>
          </w:p>
        </w:tc>
        <w:tc>
          <w:tcPr>
            <w:tcW w:type="dxa" w:w="11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45309"/>
                <w:sz w:val="16"/>
                <w:szCs w:val="16"/>
              </w:rPr>
              <w:t xml:space="preserve">HIGH</w:t>
            </w:r>
          </w:p>
        </w:tc>
        <w:tc>
          <w:tcPr>
            <w:tcW w:type="dxa" w:w="21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Railway dashboard — service shows Running status</w:t>
            </w:r>
          </w:p>
        </w:tc>
      </w:tr>
      <w:tr>
        <w:tc>
          <w:tcPr>
            <w:tcW w:type="dxa" w:w="4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91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All environment variables correct in Railway Production</w:t>
            </w:r>
          </w:p>
        </w:tc>
        <w:tc>
          <w:tcPr>
            <w:tcW w:type="dxa" w:w="11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91C1C"/>
                <w:sz w:val="16"/>
                <w:szCs w:val="16"/>
              </w:rPr>
              <w:t xml:space="preserve">CRITICAL</w:t>
            </w:r>
          </w:p>
        </w:tc>
        <w:tc>
          <w:tcPr>
            <w:tcW w:type="dxa" w:w="21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Trigger transaction — parses correctly — no env errors in logs</w:t>
            </w:r>
          </w:p>
        </w:tc>
      </w:tr>
      <w:tr>
        <w:tc>
          <w:tcPr>
            <w:tcW w:type="dxa" w:w="4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92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Supabase project is on Mumbai region (ap-south-1) for India</w:t>
            </w:r>
          </w:p>
        </w:tc>
        <w:tc>
          <w:tcPr>
            <w:tcW w:type="dxa" w:w="11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45309"/>
                <w:sz w:val="16"/>
                <w:szCs w:val="16"/>
              </w:rPr>
              <w:t xml:space="preserve">HIGH</w:t>
            </w:r>
          </w:p>
        </w:tc>
        <w:tc>
          <w:tcPr>
            <w:tcW w:type="dxa" w:w="21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Supabase dashboard — region shows ap-south-1</w:t>
            </w:r>
          </w:p>
        </w:tc>
      </w:tr>
      <w:tr>
        <w:tc>
          <w:tcPr>
            <w:tcW w:type="dxa" w:w="4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93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WhatsApp webhook URL is production Railway URL — not localhost or ngrok</w:t>
            </w:r>
          </w:p>
        </w:tc>
        <w:tc>
          <w:tcPr>
            <w:tcW w:type="dxa" w:w="11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91C1C"/>
                <w:sz w:val="16"/>
                <w:szCs w:val="16"/>
              </w:rPr>
              <w:t xml:space="preserve">CRITICAL</w:t>
            </w:r>
          </w:p>
        </w:tc>
        <w:tc>
          <w:tcPr>
            <w:tcW w:type="dxa" w:w="21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Meta dashboard — webhook URL is Railway URL</w:t>
            </w:r>
          </w:p>
        </w:tc>
      </w:tr>
      <w:tr>
        <w:tc>
          <w:tcPr>
            <w:tcW w:type="dxa" w:w="4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94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Gemini or Claude API key has monthly spending limit/alert configured</w:t>
            </w:r>
          </w:p>
        </w:tc>
        <w:tc>
          <w:tcPr>
            <w:tcW w:type="dxa" w:w="11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45309"/>
                <w:sz w:val="16"/>
                <w:szCs w:val="16"/>
              </w:rPr>
              <w:t xml:space="preserve">HIGH</w:t>
            </w:r>
          </w:p>
        </w:tc>
        <w:tc>
          <w:tcPr>
            <w:tcW w:type="dxa" w:w="21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Google Cloud or Anthropic dashboard — budget alert set</w:t>
            </w:r>
          </w:p>
        </w:tc>
      </w:tr>
      <w:tr>
        <w:tc>
          <w:tcPr>
            <w:tcW w:type="dxa" w:w="4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95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Supabase connection pooling configured</w:t>
            </w:r>
          </w:p>
        </w:tc>
        <w:tc>
          <w:tcPr>
            <w:tcW w:type="dxa" w:w="11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4ED8"/>
                <w:sz w:val="16"/>
                <w:szCs w:val="16"/>
              </w:rPr>
              <w:t xml:space="preserve">NORMAL</w:t>
            </w:r>
          </w:p>
        </w:tc>
        <w:tc>
          <w:tcPr>
            <w:tcW w:type="dxa" w:w="21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Supabase dashboard — connection pooler enabled</w:t>
            </w:r>
          </w:p>
        </w:tc>
      </w:tr>
    </w:tbl>
    <w:p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pBdr>
          <w:bottom w:val="single" w:color="00C896" w:sz="6" w:space="3"/>
        </w:pBdr>
        <w:spacing w:before="400" w:after="120"/>
      </w:pPr>
      <w:r>
        <w:rPr>
          <w:rFonts w:ascii="Arial" w:cs="Arial" w:eastAsia="Arial" w:hAnsi="Arial"/>
          <w:b/>
          <w:bCs/>
          <w:color w:val="111827"/>
          <w:sz w:val="28"/>
          <w:szCs w:val="28"/>
        </w:rPr>
        <w:t xml:space="preserve">9.  Communications &amp; Support Readiness</w:t>
      </w:r>
    </w:p>
    <w:p>
      <w:r>
        <w:rPr>
          <w:rFonts w:ascii="Arial" w:cs="Arial" w:eastAsia="Arial" w:hAnsi="Arial"/>
          <w:sz w:val="22"/>
          <w:szCs w:val="22"/>
        </w:rPr>
        <w:t xml:space="preserve"> </w:t>
      </w:r>
    </w:p>
    <w:tbl>
      <w:tblPr>
        <w:tblW w:type="dxa" w:w="8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5200"/>
        <w:gridCol w:w="1100"/>
        <w:gridCol w:w="2180"/>
      </w:tblGrid>
      <w:tr>
        <w:trPr>
          <w:tblHeader/>
        </w:trPr>
        <w:tc>
          <w:tcPr>
            <w:tcW w:type="dxa" w:w="4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1182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1182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Task</w:t>
            </w:r>
          </w:p>
        </w:tc>
        <w:tc>
          <w:tcPr>
            <w:tcW w:type="dxa" w:w="11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1182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Priority</w:t>
            </w:r>
          </w:p>
        </w:tc>
        <w:tc>
          <w:tcPr>
            <w:tcW w:type="dxa" w:w="21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1182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How to verify</w:t>
            </w:r>
          </w:p>
        </w:tc>
      </w:tr>
      <w:tr>
        <w:tc>
          <w:tcPr>
            <w:tcW w:type="dxa" w:w="4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96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You have a prepared answer for 'Is my data safe?' — know it by heart</w:t>
            </w:r>
          </w:p>
        </w:tc>
        <w:tc>
          <w:tcPr>
            <w:tcW w:type="dxa" w:w="11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45309"/>
                <w:sz w:val="16"/>
                <w:szCs w:val="16"/>
              </w:rPr>
              <w:t xml:space="preserve">HIGH</w:t>
            </w:r>
          </w:p>
        </w:tc>
        <w:tc>
          <w:tcPr>
            <w:tcW w:type="dxa" w:w="21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Write it down and read it aloud until fluent</w:t>
            </w:r>
          </w:p>
        </w:tc>
      </w:tr>
      <w:tr>
        <w:tc>
          <w:tcPr>
            <w:tcW w:type="dxa" w:w="4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97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You have a prepared answer for 'Do you share my data?' — know it</w:t>
            </w:r>
          </w:p>
        </w:tc>
        <w:tc>
          <w:tcPr>
            <w:tcW w:type="dxa" w:w="11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45309"/>
                <w:sz w:val="16"/>
                <w:szCs w:val="16"/>
              </w:rPr>
              <w:t xml:space="preserve">HIGH</w:t>
            </w:r>
          </w:p>
        </w:tc>
        <w:tc>
          <w:tcPr>
            <w:tcW w:type="dxa" w:w="21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Write it down and read it aloud until fluent</w:t>
            </w:r>
          </w:p>
        </w:tc>
      </w:tr>
      <w:tr>
        <w:tc>
          <w:tcPr>
            <w:tcW w:type="dxa" w:w="4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98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Support inbox checked at minimum once daily after launch</w:t>
            </w:r>
          </w:p>
        </w:tc>
        <w:tc>
          <w:tcPr>
            <w:tcW w:type="dxa" w:w="11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91C1C"/>
                <w:sz w:val="16"/>
                <w:szCs w:val="16"/>
              </w:rPr>
              <w:t xml:space="preserve">CRITICAL</w:t>
            </w:r>
          </w:p>
        </w:tc>
        <w:tc>
          <w:tcPr>
            <w:tcW w:type="dxa" w:w="21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Mobile notification set up for support@upisense.app</w:t>
            </w:r>
          </w:p>
        </w:tc>
      </w:tr>
      <w:tr>
        <w:tc>
          <w:tcPr>
            <w:tcW w:type="dxa" w:w="4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99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Incident response plan written — what to do if data breach occurs</w:t>
            </w:r>
          </w:p>
        </w:tc>
        <w:tc>
          <w:tcPr>
            <w:tcW w:type="dxa" w:w="11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45309"/>
                <w:sz w:val="16"/>
                <w:szCs w:val="16"/>
              </w:rPr>
              <w:t xml:space="preserve">HIGH</w:t>
            </w:r>
          </w:p>
        </w:tc>
        <w:tc>
          <w:tcPr>
            <w:tcW w:type="dxa" w:w="21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Document exists — read it and know the steps</w:t>
            </w:r>
          </w:p>
        </w:tc>
      </w:tr>
      <w:tr>
        <w:tc>
          <w:tcPr>
            <w:tcW w:type="dxa" w:w="4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100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You know how to immediately revoke WhatsApp API access if needed</w:t>
            </w:r>
          </w:p>
        </w:tc>
        <w:tc>
          <w:tcPr>
            <w:tcW w:type="dxa" w:w="11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45309"/>
                <w:sz w:val="16"/>
                <w:szCs w:val="16"/>
              </w:rPr>
              <w:t xml:space="preserve">HIGH</w:t>
            </w:r>
          </w:p>
        </w:tc>
        <w:tc>
          <w:tcPr>
            <w:tcW w:type="dxa" w:w="21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Know the steps: Meta dashboard — app — suspend</w:t>
            </w:r>
          </w:p>
        </w:tc>
      </w:tr>
      <w:tr>
        <w:tc>
          <w:tcPr>
            <w:tcW w:type="dxa" w:w="4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101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You know how to take the site offline if needed</w:t>
            </w:r>
          </w:p>
        </w:tc>
        <w:tc>
          <w:tcPr>
            <w:tcW w:type="dxa" w:w="11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45309"/>
                <w:sz w:val="16"/>
                <w:szCs w:val="16"/>
              </w:rPr>
              <w:t xml:space="preserve">HIGH</w:t>
            </w:r>
          </w:p>
        </w:tc>
        <w:tc>
          <w:tcPr>
            <w:tcW w:type="dxa" w:w="21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Know the steps: Vercel dashboard — remove domain</w:t>
            </w:r>
          </w:p>
        </w:tc>
      </w:tr>
      <w:tr>
        <w:tc>
          <w:tcPr>
            <w:tcW w:type="dxa" w:w="4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102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Beta tester feedback documented — top 3 issues fixed or acknowledged</w:t>
            </w:r>
          </w:p>
        </w:tc>
        <w:tc>
          <w:tcPr>
            <w:tcW w:type="dxa" w:w="11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91C1C"/>
                <w:sz w:val="16"/>
                <w:szCs w:val="16"/>
              </w:rPr>
              <w:t xml:space="preserve">CRITICAL</w:t>
            </w:r>
          </w:p>
        </w:tc>
        <w:tc>
          <w:tcPr>
            <w:tcW w:type="dxa" w:w="21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Written list of top 3 feedback items and your resolution</w:t>
            </w:r>
          </w:p>
        </w:tc>
      </w:tr>
    </w:tbl>
    <w:p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pBdr>
          <w:bottom w:val="single" w:color="00C896" w:sz="6" w:space="3"/>
        </w:pBdr>
        <w:spacing w:before="400" w:after="120"/>
      </w:pPr>
      <w:r>
        <w:rPr>
          <w:rFonts w:ascii="Arial" w:cs="Arial" w:eastAsia="Arial" w:hAnsi="Arial"/>
          <w:b/>
          <w:bCs/>
          <w:color w:val="111827"/>
          <w:sz w:val="28"/>
          <w:szCs w:val="28"/>
        </w:rPr>
        <w:t xml:space="preserve">10.  Final 24-Hour Checks — Do These Last</w:t>
      </w:r>
    </w:p>
    <w:p>
      <w:pPr>
        <w:spacing w:before="60" w:after="100"/>
      </w:pPr>
      <w:r>
        <w:rPr>
          <w:rFonts w:ascii="Arial" w:cs="Arial" w:eastAsia="Arial" w:hAnsi="Arial"/>
          <w:color w:val="6B7280"/>
          <w:sz w:val="20"/>
          <w:szCs w:val="20"/>
        </w:rPr>
        <w:t xml:space="preserve">Run these in the 24 hours immediately before your public launch announcement.</w:t>
      </w:r>
    </w:p>
    <w:p>
      <w:r>
        <w:rPr>
          <w:rFonts w:ascii="Arial" w:cs="Arial" w:eastAsia="Arial" w:hAnsi="Arial"/>
          <w:sz w:val="22"/>
          <w:szCs w:val="22"/>
        </w:rPr>
        <w:t xml:space="preserve"> </w:t>
      </w:r>
    </w:p>
    <w:tbl>
      <w:tblPr>
        <w:tblW w:type="dxa" w:w="8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5200"/>
        <w:gridCol w:w="1100"/>
        <w:gridCol w:w="2180"/>
      </w:tblGrid>
      <w:tr>
        <w:trPr>
          <w:tblHeader/>
        </w:trPr>
        <w:tc>
          <w:tcPr>
            <w:tcW w:type="dxa" w:w="4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1182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1182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Task</w:t>
            </w:r>
          </w:p>
        </w:tc>
        <w:tc>
          <w:tcPr>
            <w:tcW w:type="dxa" w:w="11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1182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Priority</w:t>
            </w:r>
          </w:p>
        </w:tc>
        <w:tc>
          <w:tcPr>
            <w:tcW w:type="dxa" w:w="21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1182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How to verify</w:t>
            </w:r>
          </w:p>
        </w:tc>
      </w:tr>
      <w:tr>
        <w:tc>
          <w:tcPr>
            <w:tcW w:type="dxa" w:w="4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103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Full journey: signup → forward UPI notification → see on dashboard</w:t>
            </w:r>
          </w:p>
        </w:tc>
        <w:tc>
          <w:tcPr>
            <w:tcW w:type="dxa" w:w="11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91C1C"/>
                <w:sz w:val="16"/>
                <w:szCs w:val="16"/>
              </w:rPr>
              <w:t xml:space="preserve">CRITICAL</w:t>
            </w:r>
          </w:p>
        </w:tc>
        <w:tc>
          <w:tcPr>
            <w:tcW w:type="dxa" w:w="21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Zero errors — completes in under 5 minutes</w:t>
            </w:r>
          </w:p>
        </w:tc>
      </w:tr>
      <w:tr>
        <w:tc>
          <w:tcPr>
            <w:tcW w:type="dxa" w:w="4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104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Full IOU journey: 'Rohan owes me 500' → Debts → settle → balance zero</w:t>
            </w:r>
          </w:p>
        </w:tc>
        <w:tc>
          <w:tcPr>
            <w:tcW w:type="dxa" w:w="11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91C1C"/>
                <w:sz w:val="16"/>
                <w:szCs w:val="16"/>
              </w:rPr>
              <w:t xml:space="preserve">CRITICAL</w:t>
            </w:r>
          </w:p>
        </w:tc>
        <w:tc>
          <w:tcPr>
            <w:tcW w:type="dxa" w:w="21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Entire flow works correctly</w:t>
            </w:r>
          </w:p>
        </w:tc>
      </w:tr>
      <w:tr>
        <w:tc>
          <w:tcPr>
            <w:tcW w:type="dxa" w:w="4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105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Full cash journey: 'I paid 200 to auto' → appears in transactions</w:t>
            </w:r>
          </w:p>
        </w:tc>
        <w:tc>
          <w:tcPr>
            <w:tcW w:type="dxa" w:w="11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91C1C"/>
                <w:sz w:val="16"/>
                <w:szCs w:val="16"/>
              </w:rPr>
              <w:t xml:space="preserve">CRITICAL</w:t>
            </w:r>
          </w:p>
        </w:tc>
        <w:tc>
          <w:tcPr>
            <w:tcW w:type="dxa" w:w="21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Transaction categorised and visible on dashboard</w:t>
            </w:r>
          </w:p>
        </w:tc>
      </w:tr>
      <w:tr>
        <w:tc>
          <w:tcPr>
            <w:tcW w:type="dxa" w:w="4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106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Delete account: create → add data → delete → confirm all data gone from DB</w:t>
            </w:r>
          </w:p>
        </w:tc>
        <w:tc>
          <w:tcPr>
            <w:tcW w:type="dxa" w:w="11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91C1C"/>
                <w:sz w:val="16"/>
                <w:szCs w:val="16"/>
              </w:rPr>
              <w:t xml:space="preserve">CRITICAL</w:t>
            </w:r>
          </w:p>
        </w:tc>
        <w:tc>
          <w:tcPr>
            <w:tcW w:type="dxa" w:w="21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Zero rows remain in any table for that user</w:t>
            </w:r>
          </w:p>
        </w:tc>
      </w:tr>
      <w:tr>
        <w:tc>
          <w:tcPr>
            <w:tcW w:type="dxa" w:w="4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107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Webhook signature verification confirmed with a live real request</w:t>
            </w:r>
          </w:p>
        </w:tc>
        <w:tc>
          <w:tcPr>
            <w:tcW w:type="dxa" w:w="11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91C1C"/>
                <w:sz w:val="16"/>
                <w:szCs w:val="16"/>
              </w:rPr>
              <w:t xml:space="preserve">CRITICAL</w:t>
            </w:r>
          </w:p>
        </w:tc>
        <w:tc>
          <w:tcPr>
            <w:tcW w:type="dxa" w:w="21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Send real WhatsApp message — logs show signature verified</w:t>
            </w:r>
          </w:p>
        </w:tc>
      </w:tr>
      <w:tr>
        <w:tc>
          <w:tcPr>
            <w:tcW w:type="dxa" w:w="4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108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Sentry shows zero unresolved errors from last 24 hours</w:t>
            </w:r>
          </w:p>
        </w:tc>
        <w:tc>
          <w:tcPr>
            <w:tcW w:type="dxa" w:w="11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45309"/>
                <w:sz w:val="16"/>
                <w:szCs w:val="16"/>
              </w:rPr>
              <w:t xml:space="preserve">HIGH</w:t>
            </w:r>
          </w:p>
        </w:tc>
        <w:tc>
          <w:tcPr>
            <w:tcW w:type="dxa" w:w="21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Sentry dashboard — Issues — Last 24h filter — zero unresolved</w:t>
            </w:r>
          </w:p>
        </w:tc>
      </w:tr>
      <w:tr>
        <w:tc>
          <w:tcPr>
            <w:tcW w:type="dxa" w:w="4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109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UptimeRobot shows 100% uptime for last 48 hours</w:t>
            </w:r>
          </w:p>
        </w:tc>
        <w:tc>
          <w:tcPr>
            <w:tcW w:type="dxa" w:w="11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45309"/>
                <w:sz w:val="16"/>
                <w:szCs w:val="16"/>
              </w:rPr>
              <w:t xml:space="preserve">HIGH</w:t>
            </w:r>
          </w:p>
        </w:tc>
        <w:tc>
          <w:tcPr>
            <w:tcW w:type="dxa" w:w="21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UptimeRobot dashboard — both monitors green</w:t>
            </w:r>
          </w:p>
        </w:tc>
      </w:tr>
      <w:tr>
        <w:tc>
          <w:tcPr>
            <w:tcW w:type="dxa" w:w="4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110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Social media profiles created with consistent handle (Twitter/LinkedIn)</w:t>
            </w:r>
          </w:p>
        </w:tc>
        <w:tc>
          <w:tcPr>
            <w:tcW w:type="dxa" w:w="11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4ED8"/>
                <w:sz w:val="16"/>
                <w:szCs w:val="16"/>
              </w:rPr>
              <w:t xml:space="preserve">NORMAL</w:t>
            </w:r>
          </w:p>
        </w:tc>
        <w:tc>
          <w:tcPr>
            <w:tcW w:type="dxa" w:w="21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All profiles show UpiSense name and logo</w:t>
            </w:r>
          </w:p>
        </w:tc>
      </w:tr>
      <w:tr>
        <w:tc>
          <w:tcPr>
            <w:tcW w:type="dxa" w:w="4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111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At least 10 real people committed to sign up on launch day</w:t>
            </w:r>
          </w:p>
        </w:tc>
        <w:tc>
          <w:tcPr>
            <w:tcW w:type="dxa" w:w="11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45309"/>
                <w:sz w:val="16"/>
                <w:szCs w:val="16"/>
              </w:rPr>
              <w:t xml:space="preserve">HIGH</w:t>
            </w:r>
          </w:p>
        </w:tc>
        <w:tc>
          <w:tcPr>
            <w:tcW w:type="dxa" w:w="21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List of 10 names who said yes when you asked them</w:t>
            </w:r>
          </w:p>
        </w:tc>
      </w:tr>
      <w:tr>
        <w:tc>
          <w:tcPr>
            <w:tcW w:type="dxa" w:w="4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112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Product Hunt launch assets ready — tagline, screenshots, GIF demo</w:t>
            </w:r>
          </w:p>
        </w:tc>
        <w:tc>
          <w:tcPr>
            <w:tcW w:type="dxa" w:w="11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4ED8"/>
                <w:sz w:val="16"/>
                <w:szCs w:val="16"/>
              </w:rPr>
              <w:t xml:space="preserve">NORMAL</w:t>
            </w:r>
          </w:p>
        </w:tc>
        <w:tc>
          <w:tcPr>
            <w:tcW w:type="dxa" w:w="21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Assets folder ready to upload on launch day</w:t>
            </w:r>
          </w:p>
        </w:tc>
      </w:tr>
    </w:tbl>
    <w:p>
      <w:r>
        <w:rPr>
          <w:rFonts w:ascii="Arial" w:cs="Arial" w:eastAsia="Arial" w:hAnsi="Arial"/>
          <w:sz w:val="22"/>
          <w:szCs w:val="22"/>
        </w:rPr>
        <w:t xml:space="preserve"> </w:t>
      </w:r>
    </w:p>
    <w:p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pBdr>
          <w:bottom w:val="single" w:color="00C896" w:sz="6" w:space="3"/>
        </w:pBdr>
        <w:spacing w:before="400" w:after="120"/>
      </w:pPr>
      <w:r>
        <w:rPr>
          <w:rFonts w:ascii="Arial" w:cs="Arial" w:eastAsia="Arial" w:hAnsi="Arial"/>
          <w:b/>
          <w:bCs/>
          <w:color w:val="111827"/>
          <w:sz w:val="28"/>
          <w:szCs w:val="28"/>
        </w:rPr>
        <w:t xml:space="preserve">Quick Reference — 15 Critical Items Only</w:t>
      </w:r>
    </w:p>
    <w:p>
      <w:pPr>
        <w:spacing w:before="60" w:after="100"/>
      </w:pPr>
      <w:r>
        <w:rPr>
          <w:rFonts w:ascii="Arial" w:cs="Arial" w:eastAsia="Arial" w:hAnsi="Arial"/>
          <w:color w:val="6B7280"/>
          <w:sz w:val="20"/>
          <w:szCs w:val="20"/>
        </w:rPr>
        <w:t xml:space="preserve">If you are short on time, complete only these 15 items before going live. Everything else follows within 48 hours.</w:t>
      </w:r>
    </w:p>
    <w:p>
      <w:r>
        <w:rPr>
          <w:rFonts w:ascii="Arial" w:cs="Arial" w:eastAsia="Arial" w:hAnsi="Arial"/>
          <w:sz w:val="22"/>
          <w:szCs w:val="22"/>
        </w:rPr>
        <w:t xml:space="preserve"> </w:t>
      </w:r>
    </w:p>
    <w:tbl>
      <w:tblPr>
        <w:tblW w:type="dxa" w:w="8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5400"/>
        <w:gridCol w:w="3080"/>
      </w:tblGrid>
      <w:tr>
        <w:trPr>
          <w:tblHeader/>
        </w:trPr>
        <w:tc>
          <w:tcPr>
            <w:tcW w:type="dxa" w:w="4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B91C1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5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B91C1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Critical Item</w:t>
            </w:r>
          </w:p>
        </w:tc>
        <w:tc>
          <w:tcPr>
            <w:tcW w:type="dxa" w:w="30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B91C1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Checklist Ref</w:t>
            </w:r>
          </w:p>
        </w:tc>
      </w:tr>
      <w:tr>
        <w:tc>
          <w:tcPr>
            <w:tcW w:type="dxa" w:w="4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E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91C1C"/>
                <w:sz w:val="18"/>
                <w:szCs w:val="18"/>
              </w:rPr>
              <w:t xml:space="preserve">1</w:t>
            </w:r>
          </w:p>
        </w:tc>
        <w:tc>
          <w:tcPr>
            <w:tcW w:type="dxa" w:w="5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E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Privacy Policy live at /privacy (no login required)</w:t>
            </w:r>
          </w:p>
        </w:tc>
        <w:tc>
          <w:tcPr>
            <w:tcW w:type="dxa" w:w="30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E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Item 7</w:t>
            </w:r>
          </w:p>
        </w:tc>
      </w:tr>
      <w:tr>
        <w:tc>
          <w:tcPr>
            <w:tcW w:type="dxa" w:w="4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91C1C"/>
                <w:sz w:val="18"/>
                <w:szCs w:val="18"/>
              </w:rPr>
              <w:t xml:space="preserve">2</w:t>
            </w:r>
          </w:p>
        </w:tc>
        <w:tc>
          <w:tcPr>
            <w:tcW w:type="dxa" w:w="5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Terms of Service live at /terms (no login required)</w:t>
            </w:r>
          </w:p>
        </w:tc>
        <w:tc>
          <w:tcPr>
            <w:tcW w:type="dxa" w:w="30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Item 8</w:t>
            </w:r>
          </w:p>
        </w:tc>
      </w:tr>
      <w:tr>
        <w:tc>
          <w:tcPr>
            <w:tcW w:type="dxa" w:w="4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E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91C1C"/>
                <w:sz w:val="18"/>
                <w:szCs w:val="18"/>
              </w:rPr>
              <w:t xml:space="preserve">3</w:t>
            </w:r>
          </w:p>
        </w:tc>
        <w:tc>
          <w:tcPr>
            <w:tcW w:type="dxa" w:w="5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E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Grievance Officer named in Privacy Policy</w:t>
            </w:r>
          </w:p>
        </w:tc>
        <w:tc>
          <w:tcPr>
            <w:tcW w:type="dxa" w:w="30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E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Item 3</w:t>
            </w:r>
          </w:p>
        </w:tc>
      </w:tr>
      <w:tr>
        <w:tc>
          <w:tcPr>
            <w:tcW w:type="dxa" w:w="4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91C1C"/>
                <w:sz w:val="18"/>
                <w:szCs w:val="18"/>
              </w:rPr>
              <w:t xml:space="preserve">4</w:t>
            </w:r>
          </w:p>
        </w:tc>
        <w:tc>
          <w:tcPr>
            <w:tcW w:type="dxa" w:w="5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support@upisense.app is a working inbox</w:t>
            </w:r>
          </w:p>
        </w:tc>
        <w:tc>
          <w:tcPr>
            <w:tcW w:type="dxa" w:w="30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Item 4</w:t>
            </w:r>
          </w:p>
        </w:tc>
      </w:tr>
      <w:tr>
        <w:tc>
          <w:tcPr>
            <w:tcW w:type="dxa" w:w="4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E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91C1C"/>
                <w:sz w:val="18"/>
                <w:szCs w:val="18"/>
              </w:rPr>
              <w:t xml:space="preserve">5</w:t>
            </w:r>
          </w:p>
        </w:tc>
        <w:tc>
          <w:tcPr>
            <w:tcW w:type="dxa" w:w="5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E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Consent checkbox at signup — not pre-ticked</w:t>
            </w:r>
          </w:p>
        </w:tc>
        <w:tc>
          <w:tcPr>
            <w:tcW w:type="dxa" w:w="30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E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Item 21</w:t>
            </w:r>
          </w:p>
        </w:tc>
      </w:tr>
      <w:tr>
        <w:tc>
          <w:tcPr>
            <w:tcW w:type="dxa" w:w="4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91C1C"/>
                <w:sz w:val="18"/>
                <w:szCs w:val="18"/>
              </w:rPr>
              <w:t xml:space="preserve">6</w:t>
            </w:r>
          </w:p>
        </w:tc>
        <w:tc>
          <w:tcPr>
            <w:tcW w:type="dxa" w:w="5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Consent timestamp logged to database</w:t>
            </w:r>
          </w:p>
        </w:tc>
        <w:tc>
          <w:tcPr>
            <w:tcW w:type="dxa" w:w="30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Item 22</w:t>
            </w:r>
          </w:p>
        </w:tc>
      </w:tr>
      <w:tr>
        <w:tc>
          <w:tcPr>
            <w:tcW w:type="dxa" w:w="4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E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91C1C"/>
                <w:sz w:val="18"/>
                <w:szCs w:val="18"/>
              </w:rPr>
              <w:t xml:space="preserve">7</w:t>
            </w:r>
          </w:p>
        </w:tc>
        <w:tc>
          <w:tcPr>
            <w:tcW w:type="dxa" w:w="5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E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Account deletion purges all data from all tables</w:t>
            </w:r>
          </w:p>
        </w:tc>
        <w:tc>
          <w:tcPr>
            <w:tcW w:type="dxa" w:w="30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E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Item 24</w:t>
            </w:r>
          </w:p>
        </w:tc>
      </w:tr>
      <w:tr>
        <w:tc>
          <w:tcPr>
            <w:tcW w:type="dxa" w:w="4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91C1C"/>
                <w:sz w:val="18"/>
                <w:szCs w:val="18"/>
              </w:rPr>
              <w:t xml:space="preserve">8</w:t>
            </w:r>
          </w:p>
        </w:tc>
        <w:tc>
          <w:tcPr>
            <w:tcW w:type="dxa" w:w="5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Row Level Security enabled and tested on Supabase</w:t>
            </w:r>
          </w:p>
        </w:tc>
        <w:tc>
          <w:tcPr>
            <w:tcW w:type="dxa" w:w="30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Items 48-49</w:t>
            </w:r>
          </w:p>
        </w:tc>
      </w:tr>
      <w:tr>
        <w:tc>
          <w:tcPr>
            <w:tcW w:type="dxa" w:w="4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E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91C1C"/>
                <w:sz w:val="18"/>
                <w:szCs w:val="18"/>
              </w:rPr>
              <w:t xml:space="preserve">9</w:t>
            </w:r>
          </w:p>
        </w:tc>
        <w:tc>
          <w:tcPr>
            <w:tcW w:type="dxa" w:w="5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E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Webhook signature verification implemented</w:t>
            </w:r>
          </w:p>
        </w:tc>
        <w:tc>
          <w:tcPr>
            <w:tcW w:type="dxa" w:w="30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E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Item 36</w:t>
            </w:r>
          </w:p>
        </w:tc>
      </w:tr>
      <w:tr>
        <w:tc>
          <w:tcPr>
            <w:tcW w:type="dxa" w:w="4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91C1C"/>
                <w:sz w:val="18"/>
                <w:szCs w:val="18"/>
              </w:rPr>
              <w:t xml:space="preserve">10</w:t>
            </w:r>
          </w:p>
        </w:tc>
        <w:tc>
          <w:tcPr>
            <w:tcW w:type="dxa" w:w="5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STOP opt-out flow working end to end</w:t>
            </w:r>
          </w:p>
        </w:tc>
        <w:tc>
          <w:tcPr>
            <w:tcW w:type="dxa" w:w="30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Items 37-39</w:t>
            </w:r>
          </w:p>
        </w:tc>
      </w:tr>
      <w:tr>
        <w:tc>
          <w:tcPr>
            <w:tcW w:type="dxa" w:w="4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E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91C1C"/>
                <w:sz w:val="18"/>
                <w:szCs w:val="18"/>
              </w:rPr>
              <w:t xml:space="preserve">11</w:t>
            </w:r>
          </w:p>
        </w:tc>
        <w:tc>
          <w:tcPr>
            <w:tcW w:type="dxa" w:w="5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E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60-second raw message deletion verified in code</w:t>
            </w:r>
          </w:p>
        </w:tc>
        <w:tc>
          <w:tcPr>
            <w:tcW w:type="dxa" w:w="30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E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Item 51</w:t>
            </w:r>
          </w:p>
        </w:tc>
      </w:tr>
      <w:tr>
        <w:tc>
          <w:tcPr>
            <w:tcW w:type="dxa" w:w="4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91C1C"/>
                <w:sz w:val="18"/>
                <w:szCs w:val="18"/>
              </w:rPr>
              <w:t xml:space="preserve">12</w:t>
            </w:r>
          </w:p>
        </w:tc>
        <w:tc>
          <w:tcPr>
            <w:tcW w:type="dxa" w:w="5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Meta app switched to Live Mode</w:t>
            </w:r>
          </w:p>
        </w:tc>
        <w:tc>
          <w:tcPr>
            <w:tcW w:type="dxa" w:w="30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Item 32</w:t>
            </w:r>
          </w:p>
        </w:tc>
      </w:tr>
      <w:tr>
        <w:tc>
          <w:tcPr>
            <w:tcW w:type="dxa" w:w="4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E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91C1C"/>
                <w:sz w:val="18"/>
                <w:szCs w:val="18"/>
              </w:rPr>
              <w:t xml:space="preserve">13</w:t>
            </w:r>
          </w:p>
        </w:tc>
        <w:tc>
          <w:tcPr>
            <w:tcW w:type="dxa" w:w="5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E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All WhatsApp message templates approved by Meta</w:t>
            </w:r>
          </w:p>
        </w:tc>
        <w:tc>
          <w:tcPr>
            <w:tcW w:type="dxa" w:w="30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E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Item 35</w:t>
            </w:r>
          </w:p>
        </w:tc>
      </w:tr>
      <w:tr>
        <w:tc>
          <w:tcPr>
            <w:tcW w:type="dxa" w:w="4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91C1C"/>
                <w:sz w:val="18"/>
                <w:szCs w:val="18"/>
              </w:rPr>
              <w:t xml:space="preserve">14</w:t>
            </w:r>
          </w:p>
        </w:tc>
        <w:tc>
          <w:tcPr>
            <w:tcW w:type="dxa" w:w="5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No API keys in frontend code or public GitHub repo</w:t>
            </w:r>
          </w:p>
        </w:tc>
        <w:tc>
          <w:tcPr>
            <w:tcW w:type="dxa" w:w="30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Items 50, 58-59</w:t>
            </w:r>
          </w:p>
        </w:tc>
      </w:tr>
      <w:tr>
        <w:tc>
          <w:tcPr>
            <w:tcW w:type="dxa" w:w="4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E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91C1C"/>
                <w:sz w:val="18"/>
                <w:szCs w:val="18"/>
              </w:rPr>
              <w:t xml:space="preserve">15</w:t>
            </w:r>
          </w:p>
        </w:tc>
        <w:tc>
          <w:tcPr>
            <w:tcW w:type="dxa" w:w="5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E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Full user journey tested on real iPhone and real Android</w:t>
            </w:r>
          </w:p>
        </w:tc>
        <w:tc>
          <w:tcPr>
            <w:tcW w:type="dxa" w:w="30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E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Items 62-68</w:t>
            </w:r>
          </w:p>
        </w:tc>
      </w:tr>
    </w:tbl>
    <w:p>
      <w:r>
        <w:rPr>
          <w:rFonts w:ascii="Arial" w:cs="Arial" w:eastAsia="Arial" w:hAnsi="Arial"/>
          <w:sz w:val="22"/>
          <w:szCs w:val="22"/>
        </w:rPr>
        <w:t xml:space="preserve"> </w:t>
      </w:r>
    </w:p>
    <w:p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pBdr>
          <w:top w:val="single" w:color="00C896" w:sz="4" w:space="4"/>
        </w:pBdr>
        <w:spacing w:before="200"/>
        <w:jc w:val="center"/>
      </w:pPr>
      <w:r>
        <w:rPr>
          <w:rFonts w:ascii="Arial" w:cs="Arial" w:eastAsia="Arial" w:hAnsi="Arial"/>
          <w:i/>
          <w:iCs/>
          <w:color w:val="6B7280"/>
          <w:sz w:val="18"/>
          <w:szCs w:val="18"/>
        </w:rPr>
        <w:t xml:space="preserve">UpiSense MVP Pre-Launch Checklist  |  112 items  |  10 sections  |  Free tier launch</w:t>
      </w:r>
    </w:p>
    <w:sectPr>
      <w:pgSz w:w="15840" w:h="12240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2026-02-24T04:35:02.473Z</dcterms:created>
  <dcterms:modified xsi:type="dcterms:W3CDTF">2026-02-24T04:35:02.474Z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