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BB722">
      <w:pPr>
        <w:jc w:val="center"/>
      </w:pPr>
      <w:r>
        <w:rPr>
          <w:b/>
          <w:sz w:val="36"/>
        </w:rPr>
        <w:t>基于语义重排序的信息检索结果优化方法研究</w:t>
      </w:r>
    </w:p>
    <w:p w14:paraId="714D11E0">
      <w:pPr>
        <w:bidi w:val="0"/>
        <w:jc w:val="center"/>
        <w:rPr>
          <w:rFonts w:hint="default"/>
          <w:lang w:val="en-US" w:eastAsia="zh-CN"/>
        </w:rPr>
      </w:pPr>
      <w:r>
        <w:rPr>
          <w:rFonts w:hint="eastAsia"/>
          <w:lang w:val="en-US" w:eastAsia="zh-CN"/>
        </w:rPr>
        <w:t>信息232 231001201 周星宇</w:t>
      </w:r>
    </w:p>
    <w:p w14:paraId="2E565E49">
      <w:pPr>
        <w:pStyle w:val="3"/>
        <w:bidi w:val="0"/>
      </w:pPr>
      <w:r>
        <w:t>摘要</w:t>
      </w:r>
      <w:bookmarkStart w:id="0" w:name="_GoBack"/>
      <w:bookmarkEnd w:id="0"/>
    </w:p>
    <w:p w14:paraId="4E0547AC">
      <w:pPr>
        <w:pStyle w:val="30"/>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200"/>
        <w:textAlignment w:val="auto"/>
        <w:rPr>
          <w:rFonts w:ascii="宋体" w:hAnsi="宋体" w:eastAsiaTheme="minorEastAsia" w:cstheme="minorBidi"/>
          <w:kern w:val="0"/>
          <w:sz w:val="21"/>
          <w:szCs w:val="22"/>
          <w:lang w:val="en-US" w:eastAsia="en-US" w:bidi="ar-SA"/>
        </w:rPr>
      </w:pPr>
      <w:r>
        <w:rPr>
          <w:rFonts w:ascii="宋体" w:hAnsi="宋体" w:eastAsiaTheme="minorEastAsia" w:cstheme="minorBidi"/>
          <w:kern w:val="0"/>
          <w:sz w:val="21"/>
          <w:szCs w:val="22"/>
          <w:lang w:val="en-US" w:eastAsia="en-US" w:bidi="ar-SA"/>
        </w:rPr>
        <w:t>信息检索系统是搜索引擎、数字图书馆与RAG的核心组件。随着数据规模增长，用户需求从“能找到”转向“排得准”。传统TF-IDF、BM25虽高效可解释，但依赖词面匹配，易受表达差异影响。本文基于“两阶段检索”，先用n-gram TF-IDF召回，再通过同义词归一、LSA与余弦相似度重排序。实验表明，Top-1由0.667升至0.750，Hit@5达1.000，MRR与nDCG均提升，验证了语义重排序对结果相关性的优化效果。</w:t>
      </w:r>
    </w:p>
    <w:p w14:paraId="602B9683">
      <w:pPr>
        <w:spacing w:line="300" w:lineRule="auto"/>
      </w:pPr>
    </w:p>
    <w:p w14:paraId="6F61F161">
      <w:pPr>
        <w:spacing w:line="300" w:lineRule="auto"/>
      </w:pPr>
      <w:r>
        <w:t>关键词：信息检索；语义重排序；TF-IDF；潜在语义分析；RAG；排序优化</w:t>
      </w:r>
    </w:p>
    <w:p w14:paraId="71AC73A5">
      <w:pPr>
        <w:pStyle w:val="3"/>
        <w:jc w:val="left"/>
      </w:pPr>
      <w:r>
        <w:t>1 引言</w:t>
      </w:r>
    </w:p>
    <w:p w14:paraId="76FD2381">
      <w:pPr>
        <w:pStyle w:val="4"/>
        <w:jc w:val="left"/>
      </w:pPr>
      <w:r>
        <w:t>1.1 研究背景</w:t>
      </w:r>
    </w:p>
    <w:p w14:paraId="77AA23A3">
      <w:pPr>
        <w:spacing w:line="324" w:lineRule="auto"/>
        <w:ind w:firstLine="480"/>
      </w:pPr>
      <w:r>
        <w:t>信息检索是现代信息系统中最基础、也最容易被用户直接感知的能力之一。无论是通用搜索引擎、学术论文数据库、校园图书馆系统，还是企业内部知识库和智能问答平台，检索系统都承担着在大量文档中快速定位有用信息的任务。随着数字化办公、在线教育和生成式人工智能应用的普及，文本资源的规模和更新速度不断提高，用户查询也逐渐从简单关键词扩展为自然语言问题、任务式指令和多轮问答上下文。在这种背景下，检索系统的质量不再只由“是否能返回结果”决定，而更取决于“最有价值的结果是否足够靠前”。</w:t>
      </w:r>
    </w:p>
    <w:p w14:paraId="2161F558">
      <w:pPr>
        <w:spacing w:line="324" w:lineRule="auto"/>
        <w:ind w:firstLine="480"/>
      </w:pPr>
      <w:r>
        <w:t>从用户体验角度看，排序质量直接影响信息获取效率。用户通常只浏览前几条或第一页结果，如果正确答案排在较后位置，即使系统实际上已经召回了相关文档，用户也可能认为检索失败。特别是在问答系统和RAG系统中，排序错误的影响会进一步放大：生成模型往往只读取排名靠前的若干个文本片段，如果这些片段与问题关系较弱，模型就可能生成不完整、不准确甚至带有幻觉的回答。因此，检索排序已经成为连接传统信息检索与大模型应用的重要环节。</w:t>
      </w:r>
    </w:p>
    <w:p w14:paraId="2632288D">
      <w:pPr>
        <w:spacing w:line="324" w:lineRule="auto"/>
        <w:ind w:firstLine="480"/>
      </w:pPr>
      <w:r>
        <w:t>传统信息检索方法长期以词项匹配为核心。TF-IDF通过词频和逆文档频率计算词项权重，BM25在此基础上进一步考虑词频饱和和文档长度归一化。这些方法计算效率高、工程实现成熟，在大规模召回阶段仍具有不可替代的作用。然而，词项匹配方法天然依赖查询与文档之间的字面重合。当用户输入“怎样把搜索结果按含义做优化”时，真正相关文档可能使用“语义重排序”“候选文档”“余弦相似度”等表达；如果查询和文档缺少足够重合词，传统方法就可能低估其相关性。</w:t>
      </w:r>
    </w:p>
    <w:p w14:paraId="769A97BA">
      <w:pPr>
        <w:pStyle w:val="4"/>
        <w:jc w:val="left"/>
      </w:pPr>
      <w:r>
        <w:t>1.2 问题提出</w:t>
      </w:r>
    </w:p>
    <w:p w14:paraId="12779105">
      <w:pPr>
        <w:spacing w:line="324" w:lineRule="auto"/>
        <w:ind w:firstLine="480"/>
      </w:pPr>
      <w:r>
        <w:t>本文关注的问题可以概括为：在不显著增加系统复杂度的前提下，如何提升初始检索结果的语义相关性，使真正符合用户意图的文档在最终结果中尽可能靠前。这个问题并不等同于完全替代传统检索。相反，在真实工程系统中，更常见也更稳健的方案是保留稀疏检索作为高效召回模块，再在较小候选集上引入语义模型进行重排序。这样既能利用TF-IDF、BM25等方法的速度优势，又能利用语义表示缓解词汇不匹配。</w:t>
      </w:r>
    </w:p>
    <w:p w14:paraId="544719B1">
      <w:pPr>
        <w:spacing w:line="324" w:lineRule="auto"/>
        <w:ind w:firstLine="480"/>
      </w:pPr>
      <w:r>
        <w:t>重排序方法的核心思想是“先粗后精”。初始召回阶段从全部文档中快速筛选出可能相关的候选；重排序阶段只处理候选集合，因此可以使用更复杂的特征、更高维的向量表示或更强的神经网络模型。对于教学实验和小型系统而言，完全下载并部署大型预训练模型并不总是现实，因此本文采用一种轻量级语义重排序方法：利用人工可解释的同义词归一缓解近义表达差异，再利用潜在语义分析把文本投影到低维语义空间，最后用余弦相似度重新排序。</w:t>
      </w:r>
    </w:p>
    <w:p w14:paraId="55E27004">
      <w:pPr>
        <w:pStyle w:val="4"/>
        <w:jc w:val="left"/>
      </w:pPr>
      <w:r>
        <w:t>1.3 研究意义</w:t>
      </w:r>
    </w:p>
    <w:p w14:paraId="51634D09">
      <w:pPr>
        <w:spacing w:line="324" w:lineRule="auto"/>
        <w:ind w:firstLine="480"/>
      </w:pPr>
      <w:r>
        <w:t>本文研究具有三方面意义。第一，在理论层面，它展示了从词面匹配到语义匹配的排序优化思路，能够帮助理解现代检索系统为什么通常采用多阶段架构。第二，在实践层面，本文给出了一个完全可复现的小型中文实验，不依赖外部在线模型和复杂部署环境，适合在课程论文、实验报告和小型知识库原型中复用。第三，在应用层面，本文方法与RAG系统的检索模块具有直接关联，可作为理解“检索质量影响生成质量”的基础实验。</w:t>
      </w:r>
    </w:p>
    <w:p w14:paraId="2573D7E0">
      <w:pPr>
        <w:pStyle w:val="4"/>
        <w:jc w:val="left"/>
      </w:pPr>
      <w:r>
        <w:t>1.4 本文主要工作</w:t>
      </w:r>
    </w:p>
    <w:p w14:paraId="2B281BEC">
      <w:pPr>
        <w:spacing w:line="324" w:lineRule="auto"/>
        <w:ind w:firstLine="480"/>
      </w:pPr>
      <w:r>
        <w:t>本文主要完成以下工作：一是梳理传统信息检索、语义表示、重排序和RAG相关研究，明确两阶段检索框架的适用场景；二是设计一种“字符n-gram TF-IDF召回+同义词归一+LSA语义重排序”的轻量级方法；三是构建中文短文本实验数据集，设置12个查询和标准相关文档；四是从Top-1准确率、Hit@3、Hit@5、MRR、nDCG等多个指标进行对比实验；五是结合典型查询案例分析重排序有效与失效的原因，并讨论后续使用SBERT、BGE、Cross-Encoder或大语言模型排序器进行扩展的方向。</w:t>
      </w:r>
    </w:p>
    <w:p w14:paraId="4A2C73DE">
      <w:pPr>
        <w:pStyle w:val="3"/>
        <w:jc w:val="left"/>
      </w:pPr>
      <w:r>
        <w:t>2 相关技术与研究现状</w:t>
      </w:r>
    </w:p>
    <w:p w14:paraId="3764A991">
      <w:pPr>
        <w:pStyle w:val="4"/>
        <w:jc w:val="left"/>
      </w:pPr>
      <w:r>
        <w:t>2.1 传统词匹配检索模型</w:t>
      </w:r>
    </w:p>
    <w:p w14:paraId="7D853E30">
      <w:pPr>
        <w:spacing w:line="324" w:lineRule="auto"/>
        <w:ind w:firstLine="480"/>
      </w:pPr>
      <w:r>
        <w:t>传统信息检索模型主要建立在词项统计和概率排序思想之上。TF-IDF认为，如果一个词在某篇文档中出现频率较高，而在整个语料库中出现频率较低，则这个词对该文档具有较强区分能力。其基本权重可以表示为：w(t,d)=tf(t,d)×idf(t)，其中tf表示词项t在文档d中的出现频率，idf表示词项t在全体文档中的逆文档频率。该方法直观、简单、可解释性强，因此常被用于文本分类、关键词抽取和基础检索排序[8]。</w:t>
      </w:r>
    </w:p>
    <w:p w14:paraId="30267144">
      <w:pPr>
        <w:spacing w:line="324" w:lineRule="auto"/>
        <w:ind w:firstLine="480"/>
      </w:pPr>
      <w:r>
        <w:t>BM25是经典概率检索框架中的代表方法，它在TF-IDF思想基础上加入词频饱和与文档长度归一化机制。与原始TF-IDF相比，BM25更适合处理长短不一的文档，也更符合搜索引擎排序的经验规律。尽管近年来稠密检索和大模型检索发展迅速，BM25仍然是许多公开评测和工业系统中的强基线。这说明词匹配方法并未过时，而是更适合作为多阶段检索中的第一阶段[7]。</w:t>
      </w:r>
    </w:p>
    <w:p w14:paraId="0F691067">
      <w:pPr>
        <w:spacing w:line="324" w:lineRule="auto"/>
        <w:ind w:firstLine="480"/>
      </w:pPr>
      <w:r>
        <w:t>词匹配模型的主要不足在于语义理解能力有限。它很难知道“搜索”“查找”“检索”在很多语境下表达相近含义，也难以理解“减少胡编”与“缓解幻觉”之间的语义联系。对于短查询而言，这一问题更加明显，因为短查询包含的词项少，任何一个关键表达不匹配都会显著影响得分。因此，仅依赖词面相似度往往无法满足问答式检索和知识库检索的需求。</w:t>
      </w:r>
    </w:p>
    <w:p w14:paraId="7D0E7E9E">
      <w:pPr>
        <w:pStyle w:val="4"/>
        <w:jc w:val="left"/>
      </w:pPr>
      <w:r>
        <w:t>2.2 语义表示与向量检索</w:t>
      </w:r>
    </w:p>
    <w:p w14:paraId="5E3E1D4A">
      <w:pPr>
        <w:spacing w:line="324" w:lineRule="auto"/>
        <w:ind w:firstLine="480"/>
      </w:pPr>
      <w:r>
        <w:t>语义表示方法试图把文本映射为连续向量，使语义相近的文本在向量空间中距离更近。早期方法包括潜在语义分析，它通过对词项-文档矩阵进行降维，发现词项之间的隐含关联。随着深度学习发展，Word2Vec、BERT、Sentence-BERT以及中文BGE等模型进一步提升了文本语义表示能力。Sentence-BERT通过孪生网络结构生成句向量，使句子相似度可以用余弦相似度高效计算；BGE等模型则针对检索任务进行训练，在中文和多语言场景中被广泛使用[6][11]。</w:t>
      </w:r>
    </w:p>
    <w:p w14:paraId="435148C2">
      <w:pPr>
        <w:spacing w:line="324" w:lineRule="auto"/>
        <w:ind w:firstLine="480"/>
      </w:pPr>
      <w:r>
        <w:t>向量检索通常也被称为稠密检索。它与TF-IDF、BM25等稀疏检索不同，不再只依赖离散词项是否重合，而是利用模型学习得到的连续向量表达语义关系。稠密检索能够缓解同义词、近义表达和上下文差异问题，但也存在部署成本高、模型更新复杂、可解释性弱等不足。因此，许多系统采用混合检索，即同时使用稀疏检索和稠密检索，再通过融合或重排序得到最终结果[9]。</w:t>
      </w:r>
    </w:p>
    <w:p w14:paraId="1EB39B71">
      <w:pPr>
        <w:pStyle w:val="4"/>
        <w:jc w:val="left"/>
      </w:pPr>
      <w:r>
        <w:t>2.3 重排序方法</w:t>
      </w:r>
    </w:p>
    <w:p w14:paraId="3B410C93">
      <w:pPr>
        <w:spacing w:line="324" w:lineRule="auto"/>
        <w:ind w:firstLine="480"/>
      </w:pPr>
      <w:r>
        <w:t>重排序是信息检索系统中承上启下的环节。初始召回阶段一般追求高召回率和低延迟，排序阶段则追求更高的相关性判断精度。常见重排序方法包括基于规则的重排序、基于特征融合的学习排序、基于双塔模型的向量重排序、基于Cross-Encoder的精排以及基于大语言模型的相关性判断。其中Cross-Encoder通常把查询和候选文档拼接后同时输入模型，能够捕捉细粒度交互信息，但计算成本较高，适合候选集较小的精排阶段[10]。</w:t>
      </w:r>
    </w:p>
    <w:p w14:paraId="5E30EC91">
      <w:pPr>
        <w:spacing w:line="324" w:lineRule="auto"/>
        <w:ind w:firstLine="480"/>
      </w:pPr>
      <w:r>
        <w:t>重排序的评价不应只关注是否命中相关文档，还应关注相关文档出现的位置。Top-1准确率反映第一条结果是否正确，Hit@K反映相关文档是否进入前K，MRR关注第一个相关结果的排名倒数，nDCG则考虑排名位置带来的折损。对于用户体验而言，把相关文档从第十位提升到第二位往往比单纯扩大候选集更有价值，因为用户实际浏览的范围有限。</w:t>
      </w:r>
    </w:p>
    <w:p w14:paraId="24B300BC">
      <w:pPr>
        <w:pStyle w:val="4"/>
        <w:jc w:val="left"/>
      </w:pPr>
      <w:r>
        <w:t>2.4 RAG场景下的检索排序</w:t>
      </w:r>
    </w:p>
    <w:p w14:paraId="4A82CB97">
      <w:pPr>
        <w:spacing w:line="324" w:lineRule="auto"/>
        <w:ind w:firstLine="480"/>
      </w:pPr>
      <w:r>
        <w:t>检索增强生成把外部知识库与生成模型结合起来，常见流程包括文档切分、向量化、索引构建、查询召回、重排序和答案生成。RAG的目标是让模型在回答时参考可追溯的外部资料，从而缓解知识过时和幻觉问题。然而，如果检索阶段返回的上下文不相关，即使生成模型能力很强，也难以得到可靠答案。因此，RAG系统中的排序质量不仅影响检索结果本身，也会影响最终生成内容的准确性、完整性和可解释性[2][3][4]。</w:t>
      </w:r>
    </w:p>
    <w:p w14:paraId="5132E7EB">
      <w:pPr>
        <w:spacing w:line="324" w:lineRule="auto"/>
        <w:ind w:firstLine="480"/>
      </w:pPr>
      <w:r>
        <w:t>近年来关于RAG和大模型信息检索的研究表明，检索模块正在从单纯的文档查找演变为面向任务的知识选择。查询改写、混合检索、语义重排序、上下文压缩和答案一致性验证逐渐成为系统优化重点。本文虽然没有直接部署大型语言模型，但围绕语义重排序设计的实验能够体现RAG系统中的关键问题：候选文档并非只要被召回就足够，排序位置同样决定了后续模块能否获得正确依据[1][2][4]。</w:t>
      </w:r>
    </w:p>
    <w:p w14:paraId="5C216F22">
      <w:pPr>
        <w:pStyle w:val="3"/>
        <w:jc w:val="left"/>
      </w:pPr>
      <w:r>
        <w:t>3 方法设计</w:t>
      </w:r>
    </w:p>
    <w:p w14:paraId="739FC410">
      <w:pPr>
        <w:pStyle w:val="4"/>
        <w:jc w:val="left"/>
      </w:pPr>
      <w:r>
        <w:t>3.1 总体框架</w:t>
      </w:r>
    </w:p>
    <w:p w14:paraId="52131F3D">
      <w:r>
        <w:drawing>
          <wp:inline distT="0" distB="0" distL="114300" distR="114300">
            <wp:extent cx="5579745" cy="1701800"/>
            <wp:effectExtent l="0" t="0" r="133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1702433"/>
                    </a:xfrm>
                    <a:prstGeom prst="rect">
                      <a:avLst/>
                    </a:prstGeom>
                  </pic:spPr>
                </pic:pic>
              </a:graphicData>
            </a:graphic>
          </wp:inline>
        </w:drawing>
      </w:r>
    </w:p>
    <w:p w14:paraId="4F8DAE5A">
      <w:pPr>
        <w:jc w:val="center"/>
      </w:pPr>
      <w:r>
        <w:t>图1  初始检索与语义重排序流程图</w:t>
      </w:r>
    </w:p>
    <w:p w14:paraId="7EB9F90D">
      <w:pPr>
        <w:spacing w:line="324" w:lineRule="auto"/>
        <w:ind w:firstLine="480"/>
      </w:pPr>
      <w:r>
        <w:t>本文设计的检索优化框架采用典型两阶段结构。第一阶段为初始检索模块，输入用户查询后使用TF-IDF计算查询与文档集合之间的词面相似度，得到候选文档列表。第二阶段为语义重排序模块，对查询和候选文档进行同义词归一与语义向量表示，再依据语义相似度重新调整候选文档顺序。最终输出的排序结果既保留了初始检索的效率，又引入了语义匹配能力。</w:t>
      </w:r>
    </w:p>
    <w:p w14:paraId="0AFAB6E0">
      <w:pPr>
        <w:spacing w:line="324" w:lineRule="auto"/>
        <w:ind w:firstLine="480"/>
      </w:pPr>
      <w:r>
        <w:t>该框架的关键在于职责划分。初始检索阶段解决“从大量文档中快速找出可能相关结果”的问题，重排序阶段解决“在候选结果中判断谁更符合用户意图”的问题。两阶段结构降低了语义模型的计算压力，也更符合实际系统设计习惯。对于大规模语料，Top-K可以设置为几十到几百；对于本文40条文档的小规模实验，为观察完整候选列表的排序变化，实验中K取40。</w:t>
      </w:r>
    </w:p>
    <w:p w14:paraId="6850B229">
      <w:pPr>
        <w:pStyle w:val="4"/>
        <w:jc w:val="left"/>
      </w:pPr>
      <w:r>
        <w:t>3.2 初始检索模块</w:t>
      </w:r>
    </w:p>
    <w:p w14:paraId="22AA9577">
      <w:pPr>
        <w:spacing w:line="324" w:lineRule="auto"/>
        <w:ind w:firstLine="480"/>
      </w:pPr>
      <w:r>
        <w:t>初始检索模块采用字符n-gram TF-IDF。中文文本不像英文文本那样天然以空格分隔，如果引入分词工具，实验复现会额外依赖词典和分词模型。为降低环境要求，本文使用字符级n-gram特征，n取2至4。该方法能够捕捉“信息检索”“语义重排”“向量检索”等连续片段，在小规模中文语料中具有较好的稳定性。查询和文档被转换为稀疏向量后，使用余弦相似度计算词面相关得分。</w:t>
      </w:r>
    </w:p>
    <w:p w14:paraId="7246C91E">
      <w:pPr>
        <w:spacing w:line="324" w:lineRule="auto"/>
        <w:ind w:firstLine="480"/>
      </w:pPr>
      <w:r>
        <w:t>余弦相似度衡量两个向量夹角的接近程度，公式为sim(q,d)=q·d/(||q||·||d||)。当查询和文档共享较多高权重n-gram时，余弦相似度较高。该方法对完全相同或高度重合的表达效果较好，但当用户使用抽象表达或近义说法时，得分可能偏低。例如“首页结果不相关为什么会让用户流失”与“排序质量直接影响用户体验”表达相关，但字面重合并不总是充分。</w:t>
      </w:r>
    </w:p>
    <w:p w14:paraId="2CA61CFC">
      <w:pPr>
        <w:pStyle w:val="4"/>
        <w:jc w:val="left"/>
      </w:pPr>
      <w:r>
        <w:t>3.3 语义重排序模块</w:t>
      </w:r>
    </w:p>
    <w:p w14:paraId="20FBAB2E">
      <w:pPr>
        <w:spacing w:line="324" w:lineRule="auto"/>
        <w:ind w:firstLine="480"/>
      </w:pPr>
      <w:r>
        <w:t>语义重排序模块首先进行同义词归一。实验中构建了若干领域同义词组，例如“搜索、查找、召回、检索”映射到相近语义，“重新排列、精排、排序优化、重排序”映射到排序优化语义，“生成答案、外部资料、减少胡编、幻觉”映射到RAG生成语义。这一步并不追求覆盖所有语言现象，而是通过可解释的方式缓解小型实验中的典型词汇不匹配问题。</w:t>
      </w:r>
    </w:p>
    <w:p w14:paraId="3B349BD5">
      <w:pPr>
        <w:spacing w:line="324" w:lineRule="auto"/>
        <w:ind w:firstLine="480"/>
      </w:pPr>
      <w:r>
        <w:t>随后，系统将扩展后的查询和文档共同构造成TF-IDF矩阵，并使用TruncatedSVD进行潜在语义分析。LSA的思想是通过矩阵降维保留主要语义结构，减少词项噪声影响，使具有相似上下文的词和文档在低维空间中更加接近。降维后再进行向量归一化，避免文本长度差异对相似度造成过强影响。最后，在候选集中计算查询向量与文档向量的余弦相似度，并与初始词面得分进行加权融合[8]。</w:t>
      </w:r>
    </w:p>
    <w:p w14:paraId="176849A4">
      <w:pPr>
        <w:spacing w:line="324" w:lineRule="auto"/>
        <w:ind w:firstLine="480"/>
      </w:pPr>
      <w:r>
        <w:t>本文最终得分设置为Score=0.35×LexicalScore+0.65×SemanticScore。其中LexicalScore表示归一化后的TF-IDF词面得分，SemanticScore表示LSA语义向量相似度。权重设置体现了本文对语义匹配的强调，同时保留一定词面匹配约束，避免语义扩展过度导致无关文档被提升。该权重并非唯一最优选择，在更大数据集上可以通过验证集调参确定。</w:t>
      </w:r>
    </w:p>
    <w:p w14:paraId="5A0E64BD">
      <w:pPr>
        <w:pStyle w:val="4"/>
        <w:jc w:val="left"/>
      </w:pPr>
      <w:r>
        <w:t>3.4 算法流程</w:t>
      </w:r>
    </w:p>
    <w:p w14:paraId="5FC26332">
      <w:pPr>
        <w:spacing w:line="300" w:lineRule="auto"/>
      </w:pPr>
      <w:r>
        <w:t>Step1：输入用户查询q和文档集合D。</w:t>
      </w:r>
    </w:p>
    <w:p w14:paraId="06157DC0">
      <w:pPr>
        <w:spacing w:line="300" w:lineRule="auto"/>
      </w:pPr>
      <w:r>
        <w:t>Step2：使用字符n-gram TF-IDF构建查询向量和文档向量。</w:t>
      </w:r>
    </w:p>
    <w:p w14:paraId="6F89960B">
      <w:pPr>
        <w:spacing w:line="300" w:lineRule="auto"/>
      </w:pPr>
      <w:r>
        <w:t>Step3：计算词面余弦相似度，得到初始候选文档列表。</w:t>
      </w:r>
    </w:p>
    <w:p w14:paraId="1E49F72C">
      <w:pPr>
        <w:spacing w:line="300" w:lineRule="auto"/>
      </w:pPr>
      <w:r>
        <w:t>Step4：对查询和候选文档进行同义词归一与领域表达扩展。</w:t>
      </w:r>
    </w:p>
    <w:p w14:paraId="33EA52FD">
      <w:pPr>
        <w:spacing w:line="300" w:lineRule="auto"/>
      </w:pPr>
      <w:r>
        <w:t>Step5：基于扩展文本构建TF-IDF矩阵，并通过TruncatedSVD得到低维语义向量。</w:t>
      </w:r>
    </w:p>
    <w:p w14:paraId="5E838BD1">
      <w:pPr>
        <w:spacing w:line="300" w:lineRule="auto"/>
      </w:pPr>
      <w:r>
        <w:t>Step6：计算查询与候选文档的语义相似度。</w:t>
      </w:r>
    </w:p>
    <w:p w14:paraId="3D2573CD">
      <w:pPr>
        <w:spacing w:line="300" w:lineRule="auto"/>
      </w:pPr>
      <w:r>
        <w:t>Step7：融合词面得分和语义得分，按照最终得分降序输出结果。</w:t>
      </w:r>
    </w:p>
    <w:p w14:paraId="6D1B7C40">
      <w:pPr>
        <w:spacing w:line="324" w:lineRule="auto"/>
        <w:ind w:firstLine="480"/>
      </w:pPr>
      <w:r>
        <w:t>从复杂度角度看，初始TF-IDF检索主要消耗在向量化和稀疏矩阵相似度计算上；语义重排序只在候选集合中进行，因此在候选集较小时计算成本可控。若后续替换为深度学习模型，仍可保持同样的两阶段框架，只需将LSA语义表示模块替换为句向量模型或Cross-Encoder评分模块。</w:t>
      </w:r>
    </w:p>
    <w:p w14:paraId="38B8C808">
      <w:pPr>
        <w:pStyle w:val="3"/>
        <w:jc w:val="left"/>
      </w:pPr>
      <w:r>
        <w:t>4 实验设计</w:t>
      </w:r>
    </w:p>
    <w:p w14:paraId="42D78334">
      <w:pPr>
        <w:pStyle w:val="4"/>
        <w:jc w:val="left"/>
      </w:pPr>
      <w:r>
        <w:t>4.1 实验环境</w:t>
      </w:r>
    </w:p>
    <w:p w14:paraId="490F6368">
      <w:pPr>
        <w:spacing w:line="324" w:lineRule="auto"/>
        <w:ind w:firstLine="480"/>
      </w:pPr>
      <w:r>
        <w:t>实验在Python环境下完成，主要依赖sklearn、numpy、pandas、matplotlib和python-docx。为保证复现便利，实验没有下载外部预训练模型，也没有依赖中文分词工具。所有语料、查询、标准答案、实验指标和论文图表均由脚本自动生成。运行reproduce_semantic_rerank.py可以复现数据集、指标表、排名变化表、流程图和图片；运行generate_expanded_paper.py可以生成扩展版论文文档。</w:t>
      </w:r>
    </w:p>
    <w:p w14:paraId="525434EE">
      <w:pPr>
        <w:pStyle w:val="4"/>
        <w:jc w:val="left"/>
      </w:pPr>
      <w:r>
        <w:t>4.2 数据集构建</w:t>
      </w:r>
    </w:p>
    <w:p w14:paraId="122B507C">
      <w:pPr>
        <w:spacing w:line="324" w:lineRule="auto"/>
        <w:ind w:firstLine="480"/>
      </w:pPr>
      <w:r>
        <w:t>本文自构40条中文短文档，主题覆盖TF-IDF、BM25、语义向量、重排序、Cross-Encoder、RAG、评价指标、中文n-gram特征、企业知识库和排序用户体验等内容。每条文档均为一段概念性说明，长度较短，适合模拟知识库条目或教学资料片段。查询集包含12个中文自然语言查询，每个查询人工指定1条最相关文档作为标准答案。</w:t>
      </w:r>
    </w:p>
    <w:p w14:paraId="492694EC">
      <w:pPr>
        <w:spacing w:line="324" w:lineRule="auto"/>
        <w:ind w:firstLine="480"/>
      </w:pPr>
      <w:r>
        <w:t>查询设计刻意加入近义表达和抽象表达，以测试词面匹配方法的不足。例如，查询“生成答案时外部资料怎样减少胡编”对应文档D25“检索增强生成通过外部知识补充模型参数知识，可缓解知识过时和幻觉问题”；查询“只看字面词会被同义说法误导吗”对应文档D24“传统关键词模型对短查询十分敏感，当用户使用近义表达时可能把真正相关文档排在后面”。这些样例能够体现语义重排序的应用价值。</w:t>
      </w:r>
    </w:p>
    <w:p w14:paraId="5934D103">
      <w:r>
        <w:drawing>
          <wp:inline distT="0" distB="0" distL="114300" distR="114300">
            <wp:extent cx="5687695" cy="2242185"/>
            <wp:effectExtent l="0" t="0" r="1206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88000" cy="2242257"/>
                    </a:xfrm>
                    <a:prstGeom prst="rect">
                      <a:avLst/>
                    </a:prstGeom>
                  </pic:spPr>
                </pic:pic>
              </a:graphicData>
            </a:graphic>
          </wp:inline>
        </w:drawing>
      </w:r>
    </w:p>
    <w:p w14:paraId="333B9BC4">
      <w:pPr>
        <w:jc w:val="center"/>
      </w:pPr>
      <w:r>
        <w:t>图2  部分查询与相关文档标注截图</w:t>
      </w:r>
    </w:p>
    <w:p w14:paraId="02A82F58">
      <w:pPr>
        <w:pStyle w:val="4"/>
        <w:jc w:val="left"/>
      </w:pPr>
      <w:r>
        <w:t>4.3 对比方法</w:t>
      </w:r>
    </w:p>
    <w:p w14:paraId="4A98D735">
      <w:pPr>
        <w:spacing w:line="324" w:lineRule="auto"/>
        <w:ind w:firstLine="480"/>
      </w:pPr>
      <w:r>
        <w:t>实验设置两个对比方法。第一种为TF-IDF原始排序，即直接使用字符n-gram TF-IDF和余弦相似度进行排序，不做语义扩展和降维。该方法代表传统词面匹配基线。第二种为TF-IDF+语义重排序，即先保留TF-IDF得到的候选列表，再对查询和文档做同义词归一、LSA语义向量计算和得分融合。两种方法使用相同语料和查询，保证比较公平。</w:t>
      </w:r>
    </w:p>
    <w:p w14:paraId="179FA5E5">
      <w:pPr>
        <w:pStyle w:val="4"/>
        <w:jc w:val="left"/>
      </w:pPr>
      <w:r>
        <w:t>4.4 评价指标</w:t>
      </w:r>
    </w:p>
    <w:p w14:paraId="04EECFD7">
      <w:pPr>
        <w:spacing w:line="324" w:lineRule="auto"/>
        <w:ind w:firstLine="480"/>
      </w:pPr>
      <w:r>
        <w:t>Top-1准确率表示第一条结果是否为标准相关文档，适合衡量用户最直接看到的结果质量。Hit@K表示标准相关文档是否出现在前K条结果中，本文报告Hit@3和Hit@5。MRR即平均倒数排名，若相关文档排第1，则该查询得分为1；若排第2，则得分为1/2；若排第10，则得分为1/10。nDCG考虑排名位置折损，相关文档越靠前，得分越高。多个指标结合使用可以避免单一指标片面化[8]。</w:t>
      </w:r>
    </w:p>
    <w:p w14:paraId="04E80C47">
      <w:pPr>
        <w:pStyle w:val="3"/>
        <w:jc w:val="left"/>
      </w:pPr>
      <w:r>
        <w:t>5 实验结果与分析</w:t>
      </w:r>
    </w:p>
    <w:p w14:paraId="0BB52A63">
      <w:pPr>
        <w:pStyle w:val="4"/>
        <w:jc w:val="left"/>
      </w:pPr>
      <w:r>
        <w:t>5.1 总体结果</w:t>
      </w:r>
    </w:p>
    <w:p w14:paraId="41EC67F9">
      <w:pPr>
        <w:jc w:val="center"/>
      </w:pPr>
    </w:p>
    <w:p w14:paraId="1BFC7904">
      <w:pPr>
        <w:jc w:val="center"/>
      </w:pPr>
      <w:r>
        <w:t>表1  TF-IDF与语义重排序方法的检索指标对比</w:t>
      </w:r>
    </w:p>
    <w:tbl>
      <w:tblPr>
        <w:tblStyle w:val="34"/>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81"/>
        <w:gridCol w:w="1618"/>
        <w:gridCol w:w="931"/>
        <w:gridCol w:w="931"/>
        <w:gridCol w:w="929"/>
        <w:gridCol w:w="983"/>
        <w:gridCol w:w="983"/>
      </w:tblGrid>
      <w:tr w14:paraId="0CB036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481" w:type="dxa"/>
            <w:tcBorders>
              <w:top w:val="single" w:color="auto" w:sz="12" w:space="0"/>
              <w:left w:val="nil"/>
              <w:bottom w:val="nil"/>
              <w:right w:val="nil"/>
            </w:tcBorders>
            <w:noWrap w:val="0"/>
            <w:tcMar>
              <w:top w:w="-1" w:type="dxa"/>
              <w:left w:w="-1" w:type="dxa"/>
              <w:bottom w:w="-1" w:type="dxa"/>
              <w:right w:w="-1" w:type="dxa"/>
            </w:tcMar>
            <w:vAlign w:val="center"/>
          </w:tcPr>
          <w:p w14:paraId="519AF5E0">
            <w:pPr>
              <w:snapToGrid w:val="0"/>
              <w:spacing w:after="0" w:line="240" w:lineRule="auto"/>
              <w:ind w:left="0" w:leftChars="0" w:right="0" w:rightChars="0" w:firstLine="0" w:firstLineChars="0"/>
              <w:jc w:val="center"/>
              <w:rPr>
                <w:b/>
              </w:rPr>
            </w:pPr>
            <w:r>
              <w:rPr>
                <w:b/>
              </w:rPr>
              <w:t>方法</w:t>
            </w:r>
          </w:p>
        </w:tc>
        <w:tc>
          <w:tcPr>
            <w:tcW w:w="1618" w:type="dxa"/>
            <w:tcBorders>
              <w:top w:val="single" w:color="auto" w:sz="12" w:space="0"/>
              <w:left w:val="nil"/>
              <w:bottom w:val="nil"/>
              <w:right w:val="nil"/>
            </w:tcBorders>
            <w:noWrap w:val="0"/>
            <w:tcMar>
              <w:top w:w="-1" w:type="dxa"/>
              <w:left w:w="-1" w:type="dxa"/>
              <w:bottom w:w="-1" w:type="dxa"/>
              <w:right w:w="-1" w:type="dxa"/>
            </w:tcMar>
            <w:vAlign w:val="center"/>
          </w:tcPr>
          <w:p w14:paraId="4A16493C">
            <w:pPr>
              <w:snapToGrid w:val="0"/>
              <w:spacing w:after="0" w:line="240" w:lineRule="auto"/>
              <w:ind w:left="0" w:leftChars="0" w:right="0" w:rightChars="0" w:firstLine="0" w:firstLineChars="0"/>
              <w:jc w:val="center"/>
              <w:rPr>
                <w:b/>
              </w:rPr>
            </w:pPr>
            <w:r>
              <w:rPr>
                <w:b/>
              </w:rPr>
              <w:t>Top-1准确率</w:t>
            </w:r>
          </w:p>
        </w:tc>
        <w:tc>
          <w:tcPr>
            <w:tcW w:w="931" w:type="dxa"/>
            <w:tcBorders>
              <w:top w:val="single" w:color="auto" w:sz="12" w:space="0"/>
              <w:left w:val="nil"/>
              <w:bottom w:val="nil"/>
              <w:right w:val="nil"/>
            </w:tcBorders>
            <w:noWrap w:val="0"/>
            <w:tcMar>
              <w:top w:w="-1" w:type="dxa"/>
              <w:left w:w="-1" w:type="dxa"/>
              <w:bottom w:w="-1" w:type="dxa"/>
              <w:right w:w="-1" w:type="dxa"/>
            </w:tcMar>
            <w:vAlign w:val="center"/>
          </w:tcPr>
          <w:p w14:paraId="07D44FE1">
            <w:pPr>
              <w:snapToGrid w:val="0"/>
              <w:spacing w:after="0" w:line="240" w:lineRule="auto"/>
              <w:ind w:left="0" w:leftChars="0" w:right="0" w:rightChars="0" w:firstLine="0" w:firstLineChars="0"/>
              <w:jc w:val="center"/>
              <w:rPr>
                <w:b/>
              </w:rPr>
            </w:pPr>
            <w:r>
              <w:rPr>
                <w:b/>
              </w:rPr>
              <w:t>Hit@3</w:t>
            </w:r>
          </w:p>
        </w:tc>
        <w:tc>
          <w:tcPr>
            <w:tcW w:w="931" w:type="dxa"/>
            <w:tcBorders>
              <w:top w:val="single" w:color="auto" w:sz="12" w:space="0"/>
              <w:left w:val="nil"/>
              <w:bottom w:val="nil"/>
              <w:right w:val="nil"/>
            </w:tcBorders>
            <w:noWrap w:val="0"/>
            <w:tcMar>
              <w:top w:w="-1" w:type="dxa"/>
              <w:left w:w="-1" w:type="dxa"/>
              <w:bottom w:w="-1" w:type="dxa"/>
              <w:right w:w="-1" w:type="dxa"/>
            </w:tcMar>
            <w:vAlign w:val="center"/>
          </w:tcPr>
          <w:p w14:paraId="3B0405BF">
            <w:pPr>
              <w:snapToGrid w:val="0"/>
              <w:spacing w:after="0" w:line="240" w:lineRule="auto"/>
              <w:ind w:left="0" w:leftChars="0" w:right="0" w:rightChars="0" w:firstLine="0" w:firstLineChars="0"/>
              <w:jc w:val="center"/>
              <w:rPr>
                <w:b/>
              </w:rPr>
            </w:pPr>
            <w:r>
              <w:rPr>
                <w:b/>
              </w:rPr>
              <w:t>Hit@5</w:t>
            </w:r>
          </w:p>
        </w:tc>
        <w:tc>
          <w:tcPr>
            <w:tcW w:w="929" w:type="dxa"/>
            <w:tcBorders>
              <w:top w:val="single" w:color="auto" w:sz="12" w:space="0"/>
              <w:left w:val="nil"/>
              <w:bottom w:val="nil"/>
              <w:right w:val="nil"/>
            </w:tcBorders>
            <w:noWrap w:val="0"/>
            <w:tcMar>
              <w:top w:w="-1" w:type="dxa"/>
              <w:left w:w="-1" w:type="dxa"/>
              <w:bottom w:w="-1" w:type="dxa"/>
              <w:right w:w="-1" w:type="dxa"/>
            </w:tcMar>
            <w:vAlign w:val="center"/>
          </w:tcPr>
          <w:p w14:paraId="3482214A">
            <w:pPr>
              <w:snapToGrid w:val="0"/>
              <w:spacing w:after="0" w:line="240" w:lineRule="auto"/>
              <w:ind w:left="0" w:leftChars="0" w:right="0" w:rightChars="0" w:firstLine="0" w:firstLineChars="0"/>
              <w:jc w:val="center"/>
              <w:rPr>
                <w:b/>
              </w:rPr>
            </w:pPr>
            <w:r>
              <w:rPr>
                <w:b/>
              </w:rPr>
              <w:t>MRR</w:t>
            </w:r>
          </w:p>
        </w:tc>
        <w:tc>
          <w:tcPr>
            <w:tcW w:w="983" w:type="dxa"/>
            <w:tcBorders>
              <w:top w:val="single" w:color="auto" w:sz="12" w:space="0"/>
              <w:left w:val="nil"/>
              <w:bottom w:val="nil"/>
              <w:right w:val="nil"/>
            </w:tcBorders>
            <w:noWrap w:val="0"/>
            <w:tcMar>
              <w:top w:w="-1" w:type="dxa"/>
              <w:left w:w="-1" w:type="dxa"/>
              <w:bottom w:w="-1" w:type="dxa"/>
              <w:right w:w="-1" w:type="dxa"/>
            </w:tcMar>
            <w:vAlign w:val="center"/>
          </w:tcPr>
          <w:p w14:paraId="60030756">
            <w:pPr>
              <w:snapToGrid w:val="0"/>
              <w:spacing w:after="0" w:line="240" w:lineRule="auto"/>
              <w:ind w:left="0" w:leftChars="0" w:right="0" w:rightChars="0" w:firstLine="0" w:firstLineChars="0"/>
              <w:jc w:val="center"/>
              <w:rPr>
                <w:b/>
              </w:rPr>
            </w:pPr>
            <w:r>
              <w:rPr>
                <w:b/>
              </w:rPr>
              <w:t>nDCG@3</w:t>
            </w:r>
          </w:p>
        </w:tc>
        <w:tc>
          <w:tcPr>
            <w:tcW w:w="983" w:type="dxa"/>
            <w:tcBorders>
              <w:top w:val="single" w:color="auto" w:sz="12" w:space="0"/>
              <w:left w:val="nil"/>
              <w:bottom w:val="nil"/>
              <w:right w:val="nil"/>
            </w:tcBorders>
            <w:noWrap w:val="0"/>
            <w:tcMar>
              <w:top w:w="-1" w:type="dxa"/>
              <w:left w:w="-1" w:type="dxa"/>
              <w:bottom w:w="-1" w:type="dxa"/>
              <w:right w:w="-1" w:type="dxa"/>
            </w:tcMar>
            <w:vAlign w:val="center"/>
          </w:tcPr>
          <w:p w14:paraId="78A1DD94">
            <w:pPr>
              <w:snapToGrid w:val="0"/>
              <w:spacing w:after="0" w:line="240" w:lineRule="auto"/>
              <w:ind w:left="0" w:leftChars="0" w:right="0" w:rightChars="0" w:firstLine="0" w:firstLineChars="0"/>
              <w:jc w:val="center"/>
              <w:rPr>
                <w:b/>
              </w:rPr>
            </w:pPr>
            <w:r>
              <w:rPr>
                <w:b/>
              </w:rPr>
              <w:t>nDCG@5</w:t>
            </w:r>
          </w:p>
        </w:tc>
      </w:tr>
      <w:tr w14:paraId="7BA3F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81" w:type="dxa"/>
            <w:tcBorders>
              <w:top w:val="single" w:color="auto" w:sz="4" w:space="0"/>
              <w:left w:val="nil"/>
              <w:bottom w:val="nil"/>
              <w:right w:val="nil"/>
            </w:tcBorders>
            <w:noWrap w:val="0"/>
            <w:tcMar>
              <w:top w:w="-1" w:type="dxa"/>
              <w:left w:w="-1" w:type="dxa"/>
              <w:bottom w:w="-1" w:type="dxa"/>
              <w:right w:w="-1" w:type="dxa"/>
            </w:tcMar>
            <w:vAlign w:val="center"/>
          </w:tcPr>
          <w:p w14:paraId="025E7A1C">
            <w:pPr>
              <w:snapToGrid w:val="0"/>
              <w:spacing w:after="0" w:line="240" w:lineRule="auto"/>
              <w:ind w:left="0" w:leftChars="0" w:right="0" w:rightChars="0" w:firstLine="0" w:firstLineChars="0"/>
              <w:jc w:val="center"/>
            </w:pPr>
            <w:r>
              <w:t>TF-IDF</w:t>
            </w:r>
          </w:p>
        </w:tc>
        <w:tc>
          <w:tcPr>
            <w:tcW w:w="1618" w:type="dxa"/>
            <w:tcBorders>
              <w:top w:val="single" w:color="auto" w:sz="4" w:space="0"/>
              <w:left w:val="nil"/>
              <w:bottom w:val="nil"/>
              <w:right w:val="nil"/>
            </w:tcBorders>
            <w:noWrap w:val="0"/>
            <w:tcMar>
              <w:top w:w="-1" w:type="dxa"/>
              <w:left w:w="-1" w:type="dxa"/>
              <w:bottom w:w="-1" w:type="dxa"/>
              <w:right w:w="-1" w:type="dxa"/>
            </w:tcMar>
            <w:vAlign w:val="center"/>
          </w:tcPr>
          <w:p w14:paraId="55C0ECE1">
            <w:pPr>
              <w:snapToGrid w:val="0"/>
              <w:spacing w:after="0" w:line="240" w:lineRule="auto"/>
              <w:ind w:left="0" w:leftChars="0" w:right="0" w:rightChars="0" w:firstLine="0" w:firstLineChars="0"/>
              <w:jc w:val="left"/>
            </w:pPr>
            <w:r>
              <w:t>0.667</w:t>
            </w:r>
          </w:p>
        </w:tc>
        <w:tc>
          <w:tcPr>
            <w:tcW w:w="931" w:type="dxa"/>
            <w:tcBorders>
              <w:top w:val="single" w:color="auto" w:sz="4" w:space="0"/>
              <w:left w:val="nil"/>
              <w:bottom w:val="nil"/>
              <w:right w:val="nil"/>
            </w:tcBorders>
            <w:noWrap w:val="0"/>
            <w:tcMar>
              <w:top w:w="-1" w:type="dxa"/>
              <w:left w:w="-1" w:type="dxa"/>
              <w:bottom w:w="-1" w:type="dxa"/>
              <w:right w:w="-1" w:type="dxa"/>
            </w:tcMar>
            <w:vAlign w:val="center"/>
          </w:tcPr>
          <w:p w14:paraId="7A7D6203">
            <w:pPr>
              <w:snapToGrid w:val="0"/>
              <w:spacing w:after="0" w:line="240" w:lineRule="auto"/>
              <w:ind w:left="0" w:leftChars="0" w:right="0" w:rightChars="0" w:firstLine="0" w:firstLineChars="0"/>
              <w:jc w:val="right"/>
            </w:pPr>
            <w:r>
              <w:t>0.833</w:t>
            </w:r>
          </w:p>
        </w:tc>
        <w:tc>
          <w:tcPr>
            <w:tcW w:w="931" w:type="dxa"/>
            <w:tcBorders>
              <w:top w:val="single" w:color="auto" w:sz="4" w:space="0"/>
              <w:left w:val="nil"/>
              <w:bottom w:val="nil"/>
              <w:right w:val="nil"/>
            </w:tcBorders>
            <w:noWrap w:val="0"/>
            <w:tcMar>
              <w:top w:w="-1" w:type="dxa"/>
              <w:left w:w="-1" w:type="dxa"/>
              <w:bottom w:w="-1" w:type="dxa"/>
              <w:right w:w="-1" w:type="dxa"/>
            </w:tcMar>
            <w:vAlign w:val="center"/>
          </w:tcPr>
          <w:p w14:paraId="12BF1F14">
            <w:pPr>
              <w:snapToGrid w:val="0"/>
              <w:spacing w:after="0" w:line="240" w:lineRule="auto"/>
              <w:ind w:left="0" w:leftChars="0" w:right="0" w:rightChars="0" w:firstLine="0" w:firstLineChars="0"/>
              <w:jc w:val="right"/>
            </w:pPr>
            <w:r>
              <w:t>0.833</w:t>
            </w:r>
          </w:p>
        </w:tc>
        <w:tc>
          <w:tcPr>
            <w:tcW w:w="929" w:type="dxa"/>
            <w:tcBorders>
              <w:top w:val="single" w:color="auto" w:sz="4" w:space="0"/>
              <w:left w:val="nil"/>
              <w:bottom w:val="nil"/>
              <w:right w:val="nil"/>
            </w:tcBorders>
            <w:noWrap w:val="0"/>
            <w:tcMar>
              <w:top w:w="-1" w:type="dxa"/>
              <w:left w:w="-1" w:type="dxa"/>
              <w:bottom w:w="-1" w:type="dxa"/>
              <w:right w:w="-1" w:type="dxa"/>
            </w:tcMar>
            <w:vAlign w:val="center"/>
          </w:tcPr>
          <w:p w14:paraId="1061EABA">
            <w:pPr>
              <w:snapToGrid w:val="0"/>
              <w:spacing w:after="0" w:line="240" w:lineRule="auto"/>
              <w:ind w:left="0" w:leftChars="0" w:right="0" w:rightChars="0" w:firstLine="0" w:firstLineChars="0"/>
              <w:jc w:val="right"/>
            </w:pPr>
            <w:r>
              <w:t>0.742</w:t>
            </w:r>
          </w:p>
        </w:tc>
        <w:tc>
          <w:tcPr>
            <w:tcW w:w="983" w:type="dxa"/>
            <w:tcBorders>
              <w:top w:val="single" w:color="auto" w:sz="4" w:space="0"/>
              <w:left w:val="nil"/>
              <w:bottom w:val="nil"/>
              <w:right w:val="nil"/>
            </w:tcBorders>
            <w:noWrap w:val="0"/>
            <w:tcMar>
              <w:top w:w="-1" w:type="dxa"/>
              <w:left w:w="-1" w:type="dxa"/>
              <w:bottom w:w="-1" w:type="dxa"/>
              <w:right w:w="-1" w:type="dxa"/>
            </w:tcMar>
            <w:vAlign w:val="center"/>
          </w:tcPr>
          <w:p w14:paraId="31E9B6C2">
            <w:pPr>
              <w:snapToGrid w:val="0"/>
              <w:spacing w:after="0" w:line="240" w:lineRule="auto"/>
              <w:ind w:left="0" w:leftChars="0" w:right="0" w:rightChars="0" w:firstLine="0" w:firstLineChars="0"/>
              <w:jc w:val="right"/>
            </w:pPr>
            <w:r>
              <w:t>0.761</w:t>
            </w:r>
          </w:p>
        </w:tc>
        <w:tc>
          <w:tcPr>
            <w:tcW w:w="983" w:type="dxa"/>
            <w:tcBorders>
              <w:top w:val="single" w:color="auto" w:sz="4" w:space="0"/>
              <w:left w:val="nil"/>
              <w:bottom w:val="nil"/>
              <w:right w:val="nil"/>
            </w:tcBorders>
            <w:noWrap w:val="0"/>
            <w:tcMar>
              <w:top w:w="-1" w:type="dxa"/>
              <w:left w:w="-1" w:type="dxa"/>
              <w:bottom w:w="-1" w:type="dxa"/>
              <w:right w:w="-1" w:type="dxa"/>
            </w:tcMar>
            <w:vAlign w:val="center"/>
          </w:tcPr>
          <w:p w14:paraId="7E330249">
            <w:pPr>
              <w:snapToGrid w:val="0"/>
              <w:spacing w:after="0" w:line="240" w:lineRule="auto"/>
              <w:ind w:left="0" w:leftChars="0" w:right="0" w:rightChars="0" w:firstLine="0" w:firstLineChars="0"/>
              <w:jc w:val="right"/>
            </w:pPr>
            <w:r>
              <w:t>0.761</w:t>
            </w:r>
          </w:p>
        </w:tc>
      </w:tr>
      <w:tr w14:paraId="6C5ABA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81" w:type="dxa"/>
            <w:tcBorders>
              <w:top w:val="nil"/>
              <w:left w:val="nil"/>
              <w:bottom w:val="single" w:color="auto" w:sz="12" w:space="0"/>
              <w:right w:val="nil"/>
            </w:tcBorders>
            <w:noWrap w:val="0"/>
            <w:tcMar>
              <w:top w:w="-1" w:type="dxa"/>
              <w:left w:w="-1" w:type="dxa"/>
              <w:bottom w:w="-1" w:type="dxa"/>
              <w:right w:w="-1" w:type="dxa"/>
            </w:tcMar>
            <w:vAlign w:val="center"/>
          </w:tcPr>
          <w:p w14:paraId="65991253">
            <w:pPr>
              <w:snapToGrid w:val="0"/>
              <w:spacing w:after="0" w:line="240" w:lineRule="auto"/>
              <w:ind w:left="0" w:leftChars="0" w:right="0" w:rightChars="0" w:firstLine="0" w:firstLineChars="0"/>
              <w:jc w:val="center"/>
            </w:pPr>
            <w:r>
              <w:t>TF-IDF + 语义重排序</w:t>
            </w:r>
          </w:p>
        </w:tc>
        <w:tc>
          <w:tcPr>
            <w:tcW w:w="1618" w:type="dxa"/>
            <w:tcBorders>
              <w:top w:val="nil"/>
              <w:left w:val="nil"/>
              <w:bottom w:val="single" w:color="auto" w:sz="12" w:space="0"/>
              <w:right w:val="nil"/>
            </w:tcBorders>
            <w:noWrap w:val="0"/>
            <w:tcMar>
              <w:top w:w="-1" w:type="dxa"/>
              <w:left w:w="-1" w:type="dxa"/>
              <w:bottom w:w="-1" w:type="dxa"/>
              <w:right w:w="-1" w:type="dxa"/>
            </w:tcMar>
            <w:vAlign w:val="center"/>
          </w:tcPr>
          <w:p w14:paraId="02F9C821">
            <w:pPr>
              <w:snapToGrid w:val="0"/>
              <w:spacing w:after="0" w:line="240" w:lineRule="auto"/>
              <w:ind w:left="0" w:leftChars="0" w:right="0" w:rightChars="0" w:firstLine="0" w:firstLineChars="0"/>
              <w:jc w:val="left"/>
            </w:pPr>
            <w:r>
              <w:t>0.750</w:t>
            </w:r>
          </w:p>
        </w:tc>
        <w:tc>
          <w:tcPr>
            <w:tcW w:w="931" w:type="dxa"/>
            <w:tcBorders>
              <w:top w:val="nil"/>
              <w:left w:val="nil"/>
              <w:bottom w:val="single" w:color="auto" w:sz="12" w:space="0"/>
              <w:right w:val="nil"/>
            </w:tcBorders>
            <w:noWrap w:val="0"/>
            <w:tcMar>
              <w:top w:w="-1" w:type="dxa"/>
              <w:left w:w="-1" w:type="dxa"/>
              <w:bottom w:w="-1" w:type="dxa"/>
              <w:right w:w="-1" w:type="dxa"/>
            </w:tcMar>
            <w:vAlign w:val="center"/>
          </w:tcPr>
          <w:p w14:paraId="2A6BBE0A">
            <w:pPr>
              <w:snapToGrid w:val="0"/>
              <w:spacing w:after="0" w:line="240" w:lineRule="auto"/>
              <w:ind w:left="0" w:leftChars="0" w:right="0" w:rightChars="0" w:firstLine="0" w:firstLineChars="0"/>
              <w:jc w:val="right"/>
            </w:pPr>
            <w:r>
              <w:t>0.917</w:t>
            </w:r>
          </w:p>
        </w:tc>
        <w:tc>
          <w:tcPr>
            <w:tcW w:w="931" w:type="dxa"/>
            <w:tcBorders>
              <w:top w:val="nil"/>
              <w:left w:val="nil"/>
              <w:bottom w:val="single" w:color="auto" w:sz="12" w:space="0"/>
              <w:right w:val="nil"/>
            </w:tcBorders>
            <w:noWrap w:val="0"/>
            <w:tcMar>
              <w:top w:w="-1" w:type="dxa"/>
              <w:left w:w="-1" w:type="dxa"/>
              <w:bottom w:w="-1" w:type="dxa"/>
              <w:right w:w="-1" w:type="dxa"/>
            </w:tcMar>
            <w:vAlign w:val="center"/>
          </w:tcPr>
          <w:p w14:paraId="73D280C6">
            <w:pPr>
              <w:snapToGrid w:val="0"/>
              <w:spacing w:after="0" w:line="240" w:lineRule="auto"/>
              <w:ind w:left="0" w:leftChars="0" w:right="0" w:rightChars="0" w:firstLine="0" w:firstLineChars="0"/>
              <w:jc w:val="right"/>
            </w:pPr>
            <w:r>
              <w:t>1.000</w:t>
            </w:r>
          </w:p>
        </w:tc>
        <w:tc>
          <w:tcPr>
            <w:tcW w:w="929" w:type="dxa"/>
            <w:tcBorders>
              <w:top w:val="nil"/>
              <w:left w:val="nil"/>
              <w:bottom w:val="single" w:color="auto" w:sz="12" w:space="0"/>
              <w:right w:val="nil"/>
            </w:tcBorders>
            <w:noWrap w:val="0"/>
            <w:tcMar>
              <w:top w:w="-1" w:type="dxa"/>
              <w:left w:w="-1" w:type="dxa"/>
              <w:bottom w:w="-1" w:type="dxa"/>
              <w:right w:w="-1" w:type="dxa"/>
            </w:tcMar>
            <w:vAlign w:val="center"/>
          </w:tcPr>
          <w:p w14:paraId="3F4C7497">
            <w:pPr>
              <w:snapToGrid w:val="0"/>
              <w:spacing w:after="0" w:line="240" w:lineRule="auto"/>
              <w:ind w:left="0" w:leftChars="0" w:right="0" w:rightChars="0" w:firstLine="0" w:firstLineChars="0"/>
              <w:jc w:val="right"/>
            </w:pPr>
            <w:r>
              <w:t>0.840</w:t>
            </w:r>
          </w:p>
        </w:tc>
        <w:tc>
          <w:tcPr>
            <w:tcW w:w="983" w:type="dxa"/>
            <w:tcBorders>
              <w:top w:val="nil"/>
              <w:left w:val="nil"/>
              <w:bottom w:val="single" w:color="auto" w:sz="12" w:space="0"/>
              <w:right w:val="nil"/>
            </w:tcBorders>
            <w:noWrap w:val="0"/>
            <w:tcMar>
              <w:top w:w="-1" w:type="dxa"/>
              <w:left w:w="-1" w:type="dxa"/>
              <w:bottom w:w="-1" w:type="dxa"/>
              <w:right w:w="-1" w:type="dxa"/>
            </w:tcMar>
            <w:vAlign w:val="center"/>
          </w:tcPr>
          <w:p w14:paraId="3068767E">
            <w:pPr>
              <w:snapToGrid w:val="0"/>
              <w:spacing w:after="0" w:line="240" w:lineRule="auto"/>
              <w:ind w:left="0" w:leftChars="0" w:right="0" w:rightChars="0" w:firstLine="0" w:firstLineChars="0"/>
              <w:jc w:val="right"/>
            </w:pPr>
            <w:r>
              <w:t>0.844</w:t>
            </w:r>
          </w:p>
        </w:tc>
        <w:tc>
          <w:tcPr>
            <w:tcW w:w="983" w:type="dxa"/>
            <w:tcBorders>
              <w:top w:val="nil"/>
              <w:left w:val="nil"/>
              <w:bottom w:val="single" w:color="auto" w:sz="12" w:space="0"/>
              <w:right w:val="nil"/>
            </w:tcBorders>
            <w:noWrap w:val="0"/>
            <w:tcMar>
              <w:top w:w="-1" w:type="dxa"/>
              <w:left w:w="-1" w:type="dxa"/>
              <w:bottom w:w="-1" w:type="dxa"/>
              <w:right w:w="-1" w:type="dxa"/>
            </w:tcMar>
            <w:vAlign w:val="center"/>
          </w:tcPr>
          <w:p w14:paraId="72DF7D53">
            <w:pPr>
              <w:snapToGrid w:val="0"/>
              <w:spacing w:after="0" w:line="240" w:lineRule="auto"/>
              <w:ind w:left="0" w:leftChars="0" w:right="0" w:rightChars="0" w:firstLine="0" w:firstLineChars="0"/>
              <w:jc w:val="right"/>
            </w:pPr>
            <w:r>
              <w:t>0.880</w:t>
            </w:r>
          </w:p>
        </w:tc>
      </w:tr>
    </w:tbl>
    <w:p w14:paraId="1DEC1B3E">
      <w:pPr>
        <w:jc w:val="center"/>
      </w:pPr>
    </w:p>
    <w:p w14:paraId="7AC3A3F3">
      <w:r>
        <w:drawing>
          <wp:inline distT="0" distB="0" distL="114300" distR="114300">
            <wp:extent cx="5687695" cy="998855"/>
            <wp:effectExtent l="0" t="0" r="1206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88000" cy="998920"/>
                    </a:xfrm>
                    <a:prstGeom prst="rect">
                      <a:avLst/>
                    </a:prstGeom>
                  </pic:spPr>
                </pic:pic>
              </a:graphicData>
            </a:graphic>
          </wp:inline>
        </w:drawing>
      </w:r>
    </w:p>
    <w:p w14:paraId="7A9C7C04">
      <w:pPr>
        <w:jc w:val="center"/>
      </w:pPr>
      <w:r>
        <w:t>图3  检索指标对比表截图</w:t>
      </w:r>
    </w:p>
    <w:p w14:paraId="2C47AB5A">
      <w:r>
        <w:drawing>
          <wp:inline distT="0" distB="0" distL="114300" distR="114300">
            <wp:extent cx="5219700" cy="257302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20000" cy="2573322"/>
                    </a:xfrm>
                    <a:prstGeom prst="rect">
                      <a:avLst/>
                    </a:prstGeom>
                  </pic:spPr>
                </pic:pic>
              </a:graphicData>
            </a:graphic>
          </wp:inline>
        </w:drawing>
      </w:r>
    </w:p>
    <w:p w14:paraId="6E47BD9E">
      <w:pPr>
        <w:jc w:val="center"/>
      </w:pPr>
      <w:r>
        <w:t>图4  主要指标柱状图</w:t>
      </w:r>
    </w:p>
    <w:p w14:paraId="1CD062ED">
      <w:pPr>
        <w:spacing w:line="324" w:lineRule="auto"/>
        <w:ind w:firstLine="480"/>
      </w:pPr>
      <w:r>
        <w:t>从总体结果看，语义重排序在所有主要指标上均优于原始TF-IDF。Top-1准确率由0.667提升至0.750，说明更多查询能够在第一位获得正确文档；Hit@3由0.833提升至0.917，Hit@5由0.833提升至1.000，说明重排序后标准相关文档更稳定地进入用户更可能浏览的结果范围；MRR由0.742提升至0.840，nDCG@5由0.761提升至0.880，进一步证明相关文档整体排名位置得到改善。</w:t>
      </w:r>
    </w:p>
    <w:p w14:paraId="24D38125">
      <w:pPr>
        <w:spacing w:line="324" w:lineRule="auto"/>
        <w:ind w:firstLine="480"/>
      </w:pPr>
      <w:r>
        <w:t>这些提升说明，在中文短查询环境下，单纯依靠字符重合进行排序会遗漏一部分语义相关结果，而同义词归一和潜在语义向量能够提供补充信号。需要注意的是，本文实验规模较小，提升幅度不能直接等同于大规模真实系统效果；但作为方法验证，结果已经能够支持“语义重排序可以改善靠前结果相关性”的基本结论。</w:t>
      </w:r>
    </w:p>
    <w:p w14:paraId="3AA8BCD1">
      <w:pPr>
        <w:pStyle w:val="4"/>
        <w:jc w:val="left"/>
      </w:pPr>
      <w:r>
        <w:t>5.2 查询级结果</w:t>
      </w:r>
    </w:p>
    <w:p w14:paraId="7A5FB33C">
      <w:pPr>
        <w:jc w:val="center"/>
      </w:pPr>
    </w:p>
    <w:p w14:paraId="3D24AD48">
      <w:pPr>
        <w:jc w:val="center"/>
      </w:pPr>
      <w:r>
        <w:t>表2  查询级相关文档排名变化</w:t>
      </w:r>
    </w:p>
    <w:tbl>
      <w:tblPr>
        <w:tblStyle w:val="34"/>
        <w:tblW w:w="885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64"/>
        <w:gridCol w:w="1264"/>
        <w:gridCol w:w="1582"/>
        <w:gridCol w:w="1516"/>
        <w:gridCol w:w="1643"/>
        <w:gridCol w:w="1582"/>
      </w:tblGrid>
      <w:tr w14:paraId="3DEF0C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43B25F3">
            <w:pPr>
              <w:snapToGrid w:val="0"/>
              <w:spacing w:after="0" w:line="240" w:lineRule="auto"/>
              <w:ind w:left="0" w:leftChars="0" w:right="0" w:rightChars="0" w:firstLine="0" w:firstLineChars="0"/>
              <w:jc w:val="center"/>
              <w:rPr>
                <w:b/>
              </w:rPr>
            </w:pPr>
            <w:r>
              <w:rPr>
                <w:b/>
              </w:rPr>
              <w:t>查询编号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4254FB6">
            <w:pPr>
              <w:snapToGrid w:val="0"/>
              <w:spacing w:after="0" w:line="240" w:lineRule="auto"/>
              <w:ind w:left="0" w:leftChars="0" w:right="0" w:rightChars="0" w:firstLine="0" w:firstLineChars="0"/>
              <w:jc w:val="center"/>
              <w:rPr>
                <w:b/>
              </w:rPr>
            </w:pPr>
            <w:r>
              <w:rPr>
                <w:b/>
              </w:rPr>
              <w:t>相关文档</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54A8BB6">
            <w:pPr>
              <w:snapToGrid w:val="0"/>
              <w:spacing w:after="0" w:line="240" w:lineRule="auto"/>
              <w:ind w:left="0" w:leftChars="0" w:right="0" w:rightChars="0" w:firstLine="0" w:firstLineChars="0"/>
              <w:jc w:val="center"/>
              <w:rPr>
                <w:b/>
              </w:rPr>
            </w:pPr>
            <w:r>
              <w:rPr>
                <w:b/>
              </w:rPr>
              <w:t>TF-IDF排名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1BDF3C7">
            <w:pPr>
              <w:snapToGrid w:val="0"/>
              <w:spacing w:after="0" w:line="240" w:lineRule="auto"/>
              <w:ind w:left="0" w:leftChars="0" w:right="0" w:rightChars="0" w:firstLine="0" w:firstLineChars="0"/>
              <w:jc w:val="center"/>
              <w:rPr>
                <w:b/>
              </w:rPr>
            </w:pPr>
            <w:r>
              <w:rPr>
                <w:b/>
              </w:rPr>
              <w:t>重排序排名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71A1A32">
            <w:pPr>
              <w:snapToGrid w:val="0"/>
              <w:spacing w:after="0" w:line="240" w:lineRule="auto"/>
              <w:ind w:left="0" w:leftChars="0" w:right="0" w:rightChars="0" w:firstLine="0" w:firstLineChars="0"/>
              <w:jc w:val="center"/>
              <w:rPr>
                <w:b/>
              </w:rPr>
            </w:pPr>
            <w:r>
              <w:rPr>
                <w:b/>
              </w:rPr>
              <w:t>TF-IDF Top1</w:t>
            </w:r>
          </w:p>
        </w:tc>
        <w:tc>
          <w:tcPr>
            <w:tcW w:w="1582" w:type="dxa"/>
            <w:tcBorders>
              <w:top w:val="single" w:color="auto" w:sz="12" w:space="0"/>
              <w:left w:val="nil"/>
              <w:bottom w:val="nil"/>
              <w:right w:val="nil"/>
            </w:tcBorders>
            <w:noWrap w:val="0"/>
            <w:tcMar>
              <w:top w:w="-1" w:type="dxa"/>
              <w:left w:w="-1" w:type="dxa"/>
              <w:bottom w:w="-1" w:type="dxa"/>
              <w:right w:w="-1" w:type="dxa"/>
            </w:tcMar>
            <w:vAlign w:val="center"/>
          </w:tcPr>
          <w:p w14:paraId="665EEB0C">
            <w:pPr>
              <w:snapToGrid w:val="0"/>
              <w:spacing w:after="0" w:line="240" w:lineRule="auto"/>
              <w:ind w:left="0" w:leftChars="0" w:right="0" w:rightChars="0" w:firstLine="0" w:firstLineChars="0"/>
              <w:jc w:val="center"/>
              <w:rPr>
                <w:b/>
              </w:rPr>
            </w:pPr>
            <w:r>
              <w:rPr>
                <w:b/>
              </w:rPr>
              <w:t>重排序Top1</w:t>
            </w:r>
          </w:p>
        </w:tc>
      </w:tr>
      <w:tr w14:paraId="73041F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2E6B9D">
            <w:pPr>
              <w:snapToGrid w:val="0"/>
              <w:spacing w:after="0" w:line="240" w:lineRule="auto"/>
              <w:ind w:left="0" w:leftChars="0" w:right="0" w:rightChars="0" w:firstLine="0" w:firstLineChars="0"/>
              <w:jc w:val="center"/>
            </w:pPr>
            <w:r>
              <w:t>Q01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B97197">
            <w:pPr>
              <w:snapToGrid w:val="0"/>
              <w:spacing w:after="0" w:line="240" w:lineRule="auto"/>
              <w:ind w:left="0" w:leftChars="0" w:right="0" w:rightChars="0" w:firstLine="0" w:firstLineChars="0"/>
              <w:jc w:val="center"/>
            </w:pPr>
            <w:r>
              <w:t>D03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94BF63">
            <w:pPr>
              <w:snapToGrid w:val="0"/>
              <w:spacing w:after="0" w:line="240" w:lineRule="auto"/>
              <w:ind w:left="0" w:leftChars="0" w:right="0" w:rightChars="0" w:firstLine="0" w:firstLineChars="0"/>
              <w:jc w:val="center"/>
            </w:pPr>
            <w:r>
              <w:t>32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D4CC422">
            <w:pPr>
              <w:snapToGrid w:val="0"/>
              <w:spacing w:after="0" w:line="240" w:lineRule="auto"/>
              <w:ind w:left="0" w:leftChars="0" w:right="0" w:rightChars="0" w:firstLine="0" w:firstLineChars="0"/>
              <w:jc w:val="center"/>
            </w:pPr>
            <w:r>
              <w:t>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332DEC">
            <w:pPr>
              <w:snapToGrid w:val="0"/>
              <w:spacing w:after="0" w:line="240" w:lineRule="auto"/>
              <w:ind w:left="0" w:leftChars="0" w:right="0" w:rightChars="0" w:firstLine="0" w:firstLineChars="0"/>
              <w:jc w:val="center"/>
            </w:pPr>
            <w:r>
              <w:t>D22</w:t>
            </w:r>
          </w:p>
        </w:tc>
        <w:tc>
          <w:tcPr>
            <w:tcW w:w="1582" w:type="dxa"/>
            <w:tcBorders>
              <w:top w:val="single" w:color="auto" w:sz="4" w:space="0"/>
              <w:left w:val="nil"/>
              <w:bottom w:val="nil"/>
              <w:right w:val="nil"/>
            </w:tcBorders>
            <w:noWrap w:val="0"/>
            <w:tcMar>
              <w:top w:w="-1" w:type="dxa"/>
              <w:left w:w="-1" w:type="dxa"/>
              <w:bottom w:w="-1" w:type="dxa"/>
              <w:right w:w="-1" w:type="dxa"/>
            </w:tcMar>
            <w:vAlign w:val="center"/>
          </w:tcPr>
          <w:p w14:paraId="79585102">
            <w:pPr>
              <w:snapToGrid w:val="0"/>
              <w:spacing w:after="0" w:line="240" w:lineRule="auto"/>
              <w:ind w:left="0" w:leftChars="0" w:right="0" w:rightChars="0" w:firstLine="0" w:firstLineChars="0"/>
              <w:jc w:val="center"/>
            </w:pPr>
            <w:r>
              <w:t>D15</w:t>
            </w:r>
          </w:p>
        </w:tc>
      </w:tr>
      <w:tr w14:paraId="3B79C4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73AE03">
            <w:pPr>
              <w:snapToGrid w:val="0"/>
              <w:spacing w:after="0" w:line="240" w:lineRule="auto"/>
              <w:ind w:left="0" w:leftChars="0" w:right="0" w:rightChars="0" w:firstLine="0" w:firstLineChars="0"/>
              <w:jc w:val="center"/>
            </w:pPr>
            <w:r>
              <w:t>Q02</w:t>
            </w:r>
          </w:p>
        </w:tc>
        <w:tc>
          <w:tcPr>
            <w:tcW w:w="0" w:type="auto"/>
            <w:tcBorders>
              <w:top w:val="nil"/>
              <w:left w:val="nil"/>
              <w:bottom w:val="nil"/>
              <w:right w:val="nil"/>
            </w:tcBorders>
            <w:noWrap w:val="0"/>
            <w:tcMar>
              <w:top w:w="-1" w:type="dxa"/>
              <w:left w:w="-1" w:type="dxa"/>
              <w:bottom w:w="-1" w:type="dxa"/>
              <w:right w:w="-1" w:type="dxa"/>
            </w:tcMar>
            <w:vAlign w:val="center"/>
          </w:tcPr>
          <w:p w14:paraId="2CEC93F0">
            <w:pPr>
              <w:snapToGrid w:val="0"/>
              <w:spacing w:after="0" w:line="240" w:lineRule="auto"/>
              <w:ind w:left="0" w:leftChars="0" w:right="0" w:rightChars="0" w:firstLine="0" w:firstLineChars="0"/>
              <w:jc w:val="center"/>
            </w:pPr>
            <w:r>
              <w:t>D25</w:t>
            </w:r>
          </w:p>
        </w:tc>
        <w:tc>
          <w:tcPr>
            <w:tcW w:w="0" w:type="auto"/>
            <w:tcBorders>
              <w:top w:val="nil"/>
              <w:left w:val="nil"/>
              <w:bottom w:val="nil"/>
              <w:right w:val="nil"/>
            </w:tcBorders>
            <w:noWrap w:val="0"/>
            <w:tcMar>
              <w:top w:w="-1" w:type="dxa"/>
              <w:left w:w="-1" w:type="dxa"/>
              <w:bottom w:w="-1" w:type="dxa"/>
              <w:right w:w="-1" w:type="dxa"/>
            </w:tcMar>
            <w:vAlign w:val="center"/>
          </w:tcPr>
          <w:p w14:paraId="5FC1C204">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479CEB2E">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675E929A">
            <w:pPr>
              <w:snapToGrid w:val="0"/>
              <w:spacing w:after="0" w:line="240" w:lineRule="auto"/>
              <w:ind w:left="0" w:leftChars="0" w:right="0" w:rightChars="0" w:firstLine="0" w:firstLineChars="0"/>
              <w:jc w:val="center"/>
            </w:pPr>
            <w:r>
              <w:t>D25</w:t>
            </w:r>
          </w:p>
        </w:tc>
        <w:tc>
          <w:tcPr>
            <w:tcW w:w="1582" w:type="dxa"/>
            <w:tcBorders>
              <w:top w:val="nil"/>
              <w:left w:val="nil"/>
              <w:bottom w:val="nil"/>
              <w:right w:val="nil"/>
            </w:tcBorders>
            <w:noWrap w:val="0"/>
            <w:tcMar>
              <w:top w:w="-1" w:type="dxa"/>
              <w:left w:w="-1" w:type="dxa"/>
              <w:bottom w:w="-1" w:type="dxa"/>
              <w:right w:w="-1" w:type="dxa"/>
            </w:tcMar>
            <w:vAlign w:val="center"/>
          </w:tcPr>
          <w:p w14:paraId="13C209BC">
            <w:pPr>
              <w:snapToGrid w:val="0"/>
              <w:spacing w:after="0" w:line="240" w:lineRule="auto"/>
              <w:ind w:left="0" w:leftChars="0" w:right="0" w:rightChars="0" w:firstLine="0" w:firstLineChars="0"/>
              <w:jc w:val="center"/>
            </w:pPr>
            <w:r>
              <w:t>D25</w:t>
            </w:r>
          </w:p>
        </w:tc>
      </w:tr>
      <w:tr w14:paraId="0F4E92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65AA51">
            <w:pPr>
              <w:snapToGrid w:val="0"/>
              <w:spacing w:after="0" w:line="240" w:lineRule="auto"/>
              <w:ind w:left="0" w:leftChars="0" w:right="0" w:rightChars="0" w:firstLine="0" w:firstLineChars="0"/>
              <w:jc w:val="center"/>
            </w:pPr>
            <w:r>
              <w:t>Q03</w:t>
            </w:r>
          </w:p>
        </w:tc>
        <w:tc>
          <w:tcPr>
            <w:tcW w:w="0" w:type="auto"/>
            <w:tcBorders>
              <w:top w:val="nil"/>
              <w:left w:val="nil"/>
              <w:bottom w:val="nil"/>
              <w:right w:val="nil"/>
            </w:tcBorders>
            <w:noWrap w:val="0"/>
            <w:tcMar>
              <w:top w:w="-1" w:type="dxa"/>
              <w:left w:w="-1" w:type="dxa"/>
              <w:bottom w:w="-1" w:type="dxa"/>
              <w:right w:w="-1" w:type="dxa"/>
            </w:tcMar>
            <w:vAlign w:val="center"/>
          </w:tcPr>
          <w:p w14:paraId="0D10AF67">
            <w:pPr>
              <w:snapToGrid w:val="0"/>
              <w:spacing w:after="0" w:line="240" w:lineRule="auto"/>
              <w:ind w:left="0" w:leftChars="0" w:right="0" w:rightChars="0" w:firstLine="0" w:firstLineChars="0"/>
              <w:jc w:val="center"/>
            </w:pPr>
            <w:r>
              <w:t>D24</w:t>
            </w:r>
          </w:p>
        </w:tc>
        <w:tc>
          <w:tcPr>
            <w:tcW w:w="0" w:type="auto"/>
            <w:tcBorders>
              <w:top w:val="nil"/>
              <w:left w:val="nil"/>
              <w:bottom w:val="nil"/>
              <w:right w:val="nil"/>
            </w:tcBorders>
            <w:noWrap w:val="0"/>
            <w:tcMar>
              <w:top w:w="-1" w:type="dxa"/>
              <w:left w:w="-1" w:type="dxa"/>
              <w:bottom w:w="-1" w:type="dxa"/>
              <w:right w:w="-1" w:type="dxa"/>
            </w:tcMar>
            <w:vAlign w:val="center"/>
          </w:tcPr>
          <w:p w14:paraId="59E44A14">
            <w:pPr>
              <w:snapToGrid w:val="0"/>
              <w:spacing w:after="0" w:line="240" w:lineRule="auto"/>
              <w:ind w:left="0" w:leftChars="0" w:right="0" w:rightChars="0" w:firstLine="0" w:firstLineChars="0"/>
              <w:jc w:val="center"/>
            </w:pPr>
            <w:r>
              <w:t>24</w:t>
            </w:r>
          </w:p>
        </w:tc>
        <w:tc>
          <w:tcPr>
            <w:tcW w:w="0" w:type="auto"/>
            <w:tcBorders>
              <w:top w:val="nil"/>
              <w:left w:val="nil"/>
              <w:bottom w:val="nil"/>
              <w:right w:val="nil"/>
            </w:tcBorders>
            <w:noWrap w:val="0"/>
            <w:tcMar>
              <w:top w:w="-1" w:type="dxa"/>
              <w:left w:w="-1" w:type="dxa"/>
              <w:bottom w:w="-1" w:type="dxa"/>
              <w:right w:w="-1" w:type="dxa"/>
            </w:tcMar>
            <w:vAlign w:val="center"/>
          </w:tcPr>
          <w:p w14:paraId="44BB07D9">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noWrap w:val="0"/>
            <w:tcMar>
              <w:top w:w="-1" w:type="dxa"/>
              <w:left w:w="-1" w:type="dxa"/>
              <w:bottom w:w="-1" w:type="dxa"/>
              <w:right w:w="-1" w:type="dxa"/>
            </w:tcMar>
            <w:vAlign w:val="center"/>
          </w:tcPr>
          <w:p w14:paraId="2C916406">
            <w:pPr>
              <w:snapToGrid w:val="0"/>
              <w:spacing w:after="0" w:line="240" w:lineRule="auto"/>
              <w:ind w:left="0" w:leftChars="0" w:right="0" w:rightChars="0" w:firstLine="0" w:firstLineChars="0"/>
              <w:jc w:val="center"/>
            </w:pPr>
            <w:r>
              <w:t>D36</w:t>
            </w:r>
          </w:p>
        </w:tc>
        <w:tc>
          <w:tcPr>
            <w:tcW w:w="1582" w:type="dxa"/>
            <w:tcBorders>
              <w:top w:val="nil"/>
              <w:left w:val="nil"/>
              <w:bottom w:val="nil"/>
              <w:right w:val="nil"/>
            </w:tcBorders>
            <w:noWrap w:val="0"/>
            <w:tcMar>
              <w:top w:w="-1" w:type="dxa"/>
              <w:left w:w="-1" w:type="dxa"/>
              <w:bottom w:w="-1" w:type="dxa"/>
              <w:right w:w="-1" w:type="dxa"/>
            </w:tcMar>
            <w:vAlign w:val="center"/>
          </w:tcPr>
          <w:p w14:paraId="4531D70A">
            <w:pPr>
              <w:snapToGrid w:val="0"/>
              <w:spacing w:after="0" w:line="240" w:lineRule="auto"/>
              <w:ind w:left="0" w:leftChars="0" w:right="0" w:rightChars="0" w:firstLine="0" w:firstLineChars="0"/>
              <w:jc w:val="center"/>
            </w:pPr>
            <w:r>
              <w:t>D12</w:t>
            </w:r>
          </w:p>
        </w:tc>
      </w:tr>
      <w:tr w14:paraId="159023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80E769">
            <w:pPr>
              <w:snapToGrid w:val="0"/>
              <w:spacing w:after="0" w:line="240" w:lineRule="auto"/>
              <w:ind w:left="0" w:leftChars="0" w:right="0" w:rightChars="0" w:firstLine="0" w:firstLineChars="0"/>
              <w:jc w:val="center"/>
            </w:pPr>
            <w:r>
              <w:t>Q04</w:t>
            </w:r>
          </w:p>
        </w:tc>
        <w:tc>
          <w:tcPr>
            <w:tcW w:w="0" w:type="auto"/>
            <w:tcBorders>
              <w:top w:val="nil"/>
              <w:left w:val="nil"/>
              <w:bottom w:val="nil"/>
              <w:right w:val="nil"/>
            </w:tcBorders>
            <w:noWrap w:val="0"/>
            <w:tcMar>
              <w:top w:w="-1" w:type="dxa"/>
              <w:left w:w="-1" w:type="dxa"/>
              <w:bottom w:w="-1" w:type="dxa"/>
              <w:right w:w="-1" w:type="dxa"/>
            </w:tcMar>
            <w:vAlign w:val="center"/>
          </w:tcPr>
          <w:p w14:paraId="274512A8">
            <w:pPr>
              <w:snapToGrid w:val="0"/>
              <w:spacing w:after="0" w:line="240" w:lineRule="auto"/>
              <w:ind w:left="0" w:leftChars="0" w:right="0" w:rightChars="0" w:firstLine="0" w:firstLineChars="0"/>
              <w:jc w:val="center"/>
            </w:pPr>
            <w:r>
              <w:t>D10</w:t>
            </w:r>
          </w:p>
        </w:tc>
        <w:tc>
          <w:tcPr>
            <w:tcW w:w="0" w:type="auto"/>
            <w:tcBorders>
              <w:top w:val="nil"/>
              <w:left w:val="nil"/>
              <w:bottom w:val="nil"/>
              <w:right w:val="nil"/>
            </w:tcBorders>
            <w:noWrap w:val="0"/>
            <w:tcMar>
              <w:top w:w="-1" w:type="dxa"/>
              <w:left w:w="-1" w:type="dxa"/>
              <w:bottom w:w="-1" w:type="dxa"/>
              <w:right w:w="-1" w:type="dxa"/>
            </w:tcMar>
            <w:vAlign w:val="center"/>
          </w:tcPr>
          <w:p w14:paraId="6C686711">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42A0BCAD">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2FA474E5">
            <w:pPr>
              <w:snapToGrid w:val="0"/>
              <w:spacing w:after="0" w:line="240" w:lineRule="auto"/>
              <w:ind w:left="0" w:leftChars="0" w:right="0" w:rightChars="0" w:firstLine="0" w:firstLineChars="0"/>
              <w:jc w:val="center"/>
            </w:pPr>
            <w:r>
              <w:t>D10</w:t>
            </w:r>
          </w:p>
        </w:tc>
        <w:tc>
          <w:tcPr>
            <w:tcW w:w="1582" w:type="dxa"/>
            <w:tcBorders>
              <w:top w:val="nil"/>
              <w:left w:val="nil"/>
              <w:bottom w:val="nil"/>
              <w:right w:val="nil"/>
            </w:tcBorders>
            <w:noWrap w:val="0"/>
            <w:tcMar>
              <w:top w:w="-1" w:type="dxa"/>
              <w:left w:w="-1" w:type="dxa"/>
              <w:bottom w:w="-1" w:type="dxa"/>
              <w:right w:w="-1" w:type="dxa"/>
            </w:tcMar>
            <w:vAlign w:val="center"/>
          </w:tcPr>
          <w:p w14:paraId="1CB49CC0">
            <w:pPr>
              <w:snapToGrid w:val="0"/>
              <w:spacing w:after="0" w:line="240" w:lineRule="auto"/>
              <w:ind w:left="0" w:leftChars="0" w:right="0" w:rightChars="0" w:firstLine="0" w:firstLineChars="0"/>
              <w:jc w:val="center"/>
            </w:pPr>
            <w:r>
              <w:t>D10</w:t>
            </w:r>
          </w:p>
        </w:tc>
      </w:tr>
      <w:tr w14:paraId="2A873A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9516C4">
            <w:pPr>
              <w:snapToGrid w:val="0"/>
              <w:spacing w:after="0" w:line="240" w:lineRule="auto"/>
              <w:ind w:left="0" w:leftChars="0" w:right="0" w:rightChars="0" w:firstLine="0" w:firstLineChars="0"/>
              <w:jc w:val="center"/>
            </w:pPr>
            <w:r>
              <w:t>Q05</w:t>
            </w:r>
          </w:p>
        </w:tc>
        <w:tc>
          <w:tcPr>
            <w:tcW w:w="0" w:type="auto"/>
            <w:tcBorders>
              <w:top w:val="nil"/>
              <w:left w:val="nil"/>
              <w:bottom w:val="nil"/>
              <w:right w:val="nil"/>
            </w:tcBorders>
            <w:noWrap w:val="0"/>
            <w:tcMar>
              <w:top w:w="-1" w:type="dxa"/>
              <w:left w:w="-1" w:type="dxa"/>
              <w:bottom w:w="-1" w:type="dxa"/>
              <w:right w:w="-1" w:type="dxa"/>
            </w:tcMar>
            <w:vAlign w:val="center"/>
          </w:tcPr>
          <w:p w14:paraId="102067AD">
            <w:pPr>
              <w:snapToGrid w:val="0"/>
              <w:spacing w:after="0" w:line="240" w:lineRule="auto"/>
              <w:ind w:left="0" w:leftChars="0" w:right="0" w:rightChars="0" w:firstLine="0" w:firstLineChars="0"/>
              <w:jc w:val="center"/>
            </w:pPr>
            <w:r>
              <w:t>D37</w:t>
            </w:r>
          </w:p>
        </w:tc>
        <w:tc>
          <w:tcPr>
            <w:tcW w:w="0" w:type="auto"/>
            <w:tcBorders>
              <w:top w:val="nil"/>
              <w:left w:val="nil"/>
              <w:bottom w:val="nil"/>
              <w:right w:val="nil"/>
            </w:tcBorders>
            <w:noWrap w:val="0"/>
            <w:tcMar>
              <w:top w:w="-1" w:type="dxa"/>
              <w:left w:w="-1" w:type="dxa"/>
              <w:bottom w:w="-1" w:type="dxa"/>
              <w:right w:w="-1" w:type="dxa"/>
            </w:tcMar>
            <w:vAlign w:val="center"/>
          </w:tcPr>
          <w:p w14:paraId="1EA1B766">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0E797742">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681B53E8">
            <w:pPr>
              <w:snapToGrid w:val="0"/>
              <w:spacing w:after="0" w:line="240" w:lineRule="auto"/>
              <w:ind w:left="0" w:leftChars="0" w:right="0" w:rightChars="0" w:firstLine="0" w:firstLineChars="0"/>
              <w:jc w:val="center"/>
            </w:pPr>
            <w:r>
              <w:t>D37</w:t>
            </w:r>
          </w:p>
        </w:tc>
        <w:tc>
          <w:tcPr>
            <w:tcW w:w="1582" w:type="dxa"/>
            <w:tcBorders>
              <w:top w:val="nil"/>
              <w:left w:val="nil"/>
              <w:bottom w:val="nil"/>
              <w:right w:val="nil"/>
            </w:tcBorders>
            <w:noWrap w:val="0"/>
            <w:tcMar>
              <w:top w:w="-1" w:type="dxa"/>
              <w:left w:w="-1" w:type="dxa"/>
              <w:bottom w:w="-1" w:type="dxa"/>
              <w:right w:w="-1" w:type="dxa"/>
            </w:tcMar>
            <w:vAlign w:val="center"/>
          </w:tcPr>
          <w:p w14:paraId="6BD681B9">
            <w:pPr>
              <w:snapToGrid w:val="0"/>
              <w:spacing w:after="0" w:line="240" w:lineRule="auto"/>
              <w:ind w:left="0" w:leftChars="0" w:right="0" w:rightChars="0" w:firstLine="0" w:firstLineChars="0"/>
              <w:jc w:val="center"/>
            </w:pPr>
            <w:r>
              <w:t>D37</w:t>
            </w:r>
          </w:p>
        </w:tc>
      </w:tr>
      <w:tr w14:paraId="0F1648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F67D08">
            <w:pPr>
              <w:snapToGrid w:val="0"/>
              <w:spacing w:after="0" w:line="240" w:lineRule="auto"/>
              <w:ind w:left="0" w:leftChars="0" w:right="0" w:rightChars="0" w:firstLine="0" w:firstLineChars="0"/>
              <w:jc w:val="center"/>
            </w:pPr>
            <w:r>
              <w:t>Q06</w:t>
            </w:r>
          </w:p>
        </w:tc>
        <w:tc>
          <w:tcPr>
            <w:tcW w:w="0" w:type="auto"/>
            <w:tcBorders>
              <w:top w:val="nil"/>
              <w:left w:val="nil"/>
              <w:bottom w:val="nil"/>
              <w:right w:val="nil"/>
            </w:tcBorders>
            <w:noWrap w:val="0"/>
            <w:tcMar>
              <w:top w:w="-1" w:type="dxa"/>
              <w:left w:w="-1" w:type="dxa"/>
              <w:bottom w:w="-1" w:type="dxa"/>
              <w:right w:w="-1" w:type="dxa"/>
            </w:tcMar>
            <w:vAlign w:val="center"/>
          </w:tcPr>
          <w:p w14:paraId="2798850A">
            <w:pPr>
              <w:snapToGrid w:val="0"/>
              <w:spacing w:after="0" w:line="240" w:lineRule="auto"/>
              <w:ind w:left="0" w:leftChars="0" w:right="0" w:rightChars="0" w:firstLine="0" w:firstLineChars="0"/>
              <w:jc w:val="center"/>
            </w:pPr>
            <w:r>
              <w:t>D05</w:t>
            </w:r>
          </w:p>
        </w:tc>
        <w:tc>
          <w:tcPr>
            <w:tcW w:w="0" w:type="auto"/>
            <w:tcBorders>
              <w:top w:val="nil"/>
              <w:left w:val="nil"/>
              <w:bottom w:val="nil"/>
              <w:right w:val="nil"/>
            </w:tcBorders>
            <w:noWrap w:val="0"/>
            <w:tcMar>
              <w:top w:w="-1" w:type="dxa"/>
              <w:left w:w="-1" w:type="dxa"/>
              <w:bottom w:w="-1" w:type="dxa"/>
              <w:right w:w="-1" w:type="dxa"/>
            </w:tcMar>
            <w:vAlign w:val="center"/>
          </w:tcPr>
          <w:p w14:paraId="6B27C486">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07F9C006">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74171365">
            <w:pPr>
              <w:snapToGrid w:val="0"/>
              <w:spacing w:after="0" w:line="240" w:lineRule="auto"/>
              <w:ind w:left="0" w:leftChars="0" w:right="0" w:rightChars="0" w:firstLine="0" w:firstLineChars="0"/>
              <w:jc w:val="center"/>
            </w:pPr>
            <w:r>
              <w:t>D05</w:t>
            </w:r>
          </w:p>
        </w:tc>
        <w:tc>
          <w:tcPr>
            <w:tcW w:w="1582" w:type="dxa"/>
            <w:tcBorders>
              <w:top w:val="nil"/>
              <w:left w:val="nil"/>
              <w:bottom w:val="nil"/>
              <w:right w:val="nil"/>
            </w:tcBorders>
            <w:noWrap w:val="0"/>
            <w:tcMar>
              <w:top w:w="-1" w:type="dxa"/>
              <w:left w:w="-1" w:type="dxa"/>
              <w:bottom w:w="-1" w:type="dxa"/>
              <w:right w:w="-1" w:type="dxa"/>
            </w:tcMar>
            <w:vAlign w:val="center"/>
          </w:tcPr>
          <w:p w14:paraId="1BB044D2">
            <w:pPr>
              <w:snapToGrid w:val="0"/>
              <w:spacing w:after="0" w:line="240" w:lineRule="auto"/>
              <w:ind w:left="0" w:leftChars="0" w:right="0" w:rightChars="0" w:firstLine="0" w:firstLineChars="0"/>
              <w:jc w:val="center"/>
            </w:pPr>
            <w:r>
              <w:t>D05</w:t>
            </w:r>
          </w:p>
        </w:tc>
      </w:tr>
      <w:tr w14:paraId="79F232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FF7894">
            <w:pPr>
              <w:snapToGrid w:val="0"/>
              <w:spacing w:after="0" w:line="240" w:lineRule="auto"/>
              <w:ind w:left="0" w:leftChars="0" w:right="0" w:rightChars="0" w:firstLine="0" w:firstLineChars="0"/>
              <w:jc w:val="center"/>
            </w:pPr>
            <w:r>
              <w:t>Q07</w:t>
            </w:r>
          </w:p>
        </w:tc>
        <w:tc>
          <w:tcPr>
            <w:tcW w:w="0" w:type="auto"/>
            <w:tcBorders>
              <w:top w:val="nil"/>
              <w:left w:val="nil"/>
              <w:bottom w:val="nil"/>
              <w:right w:val="nil"/>
            </w:tcBorders>
            <w:noWrap w:val="0"/>
            <w:tcMar>
              <w:top w:w="-1" w:type="dxa"/>
              <w:left w:w="-1" w:type="dxa"/>
              <w:bottom w:w="-1" w:type="dxa"/>
              <w:right w:w="-1" w:type="dxa"/>
            </w:tcMar>
            <w:vAlign w:val="center"/>
          </w:tcPr>
          <w:p w14:paraId="558877D5">
            <w:pPr>
              <w:snapToGrid w:val="0"/>
              <w:spacing w:after="0" w:line="240" w:lineRule="auto"/>
              <w:ind w:left="0" w:leftChars="0" w:right="0" w:rightChars="0" w:firstLine="0" w:firstLineChars="0"/>
              <w:jc w:val="center"/>
            </w:pPr>
            <w:r>
              <w:t>D36</w:t>
            </w:r>
          </w:p>
        </w:tc>
        <w:tc>
          <w:tcPr>
            <w:tcW w:w="0" w:type="auto"/>
            <w:tcBorders>
              <w:top w:val="nil"/>
              <w:left w:val="nil"/>
              <w:bottom w:val="nil"/>
              <w:right w:val="nil"/>
            </w:tcBorders>
            <w:noWrap w:val="0"/>
            <w:tcMar>
              <w:top w:w="-1" w:type="dxa"/>
              <w:left w:w="-1" w:type="dxa"/>
              <w:bottom w:w="-1" w:type="dxa"/>
              <w:right w:w="-1" w:type="dxa"/>
            </w:tcMar>
            <w:vAlign w:val="center"/>
          </w:tcPr>
          <w:p w14:paraId="2BEE6AE3">
            <w:pPr>
              <w:snapToGrid w:val="0"/>
              <w:spacing w:after="0" w:line="240" w:lineRule="auto"/>
              <w:ind w:left="0" w:leftChars="0" w:right="0" w:rightChars="0" w:firstLine="0" w:firstLineChars="0"/>
              <w:jc w:val="center"/>
            </w:pPr>
            <w:r>
              <w:t>3</w:t>
            </w:r>
          </w:p>
        </w:tc>
        <w:tc>
          <w:tcPr>
            <w:tcW w:w="0" w:type="auto"/>
            <w:tcBorders>
              <w:top w:val="nil"/>
              <w:left w:val="nil"/>
              <w:bottom w:val="nil"/>
              <w:right w:val="nil"/>
            </w:tcBorders>
            <w:noWrap w:val="0"/>
            <w:tcMar>
              <w:top w:w="-1" w:type="dxa"/>
              <w:left w:w="-1" w:type="dxa"/>
              <w:bottom w:w="-1" w:type="dxa"/>
              <w:right w:w="-1" w:type="dxa"/>
            </w:tcMar>
            <w:vAlign w:val="center"/>
          </w:tcPr>
          <w:p w14:paraId="3578149C">
            <w:pPr>
              <w:snapToGrid w:val="0"/>
              <w:spacing w:after="0" w:line="240" w:lineRule="auto"/>
              <w:ind w:left="0" w:leftChars="0" w:right="0" w:rightChars="0" w:firstLine="0" w:firstLineChars="0"/>
              <w:jc w:val="center"/>
            </w:pPr>
            <w:r>
              <w:t>3</w:t>
            </w:r>
          </w:p>
        </w:tc>
        <w:tc>
          <w:tcPr>
            <w:tcW w:w="0" w:type="auto"/>
            <w:tcBorders>
              <w:top w:val="nil"/>
              <w:left w:val="nil"/>
              <w:bottom w:val="nil"/>
              <w:right w:val="nil"/>
            </w:tcBorders>
            <w:noWrap w:val="0"/>
            <w:tcMar>
              <w:top w:w="-1" w:type="dxa"/>
              <w:left w:w="-1" w:type="dxa"/>
              <w:bottom w:w="-1" w:type="dxa"/>
              <w:right w:w="-1" w:type="dxa"/>
            </w:tcMar>
            <w:vAlign w:val="center"/>
          </w:tcPr>
          <w:p w14:paraId="7818E52D">
            <w:pPr>
              <w:snapToGrid w:val="0"/>
              <w:spacing w:after="0" w:line="240" w:lineRule="auto"/>
              <w:ind w:left="0" w:leftChars="0" w:right="0" w:rightChars="0" w:firstLine="0" w:firstLineChars="0"/>
              <w:jc w:val="center"/>
            </w:pPr>
            <w:r>
              <w:t>D21</w:t>
            </w:r>
          </w:p>
        </w:tc>
        <w:tc>
          <w:tcPr>
            <w:tcW w:w="1582" w:type="dxa"/>
            <w:tcBorders>
              <w:top w:val="nil"/>
              <w:left w:val="nil"/>
              <w:bottom w:val="nil"/>
              <w:right w:val="nil"/>
            </w:tcBorders>
            <w:noWrap w:val="0"/>
            <w:tcMar>
              <w:top w:w="-1" w:type="dxa"/>
              <w:left w:w="-1" w:type="dxa"/>
              <w:bottom w:w="-1" w:type="dxa"/>
              <w:right w:w="-1" w:type="dxa"/>
            </w:tcMar>
            <w:vAlign w:val="center"/>
          </w:tcPr>
          <w:p w14:paraId="3F19DA9A">
            <w:pPr>
              <w:snapToGrid w:val="0"/>
              <w:spacing w:after="0" w:line="240" w:lineRule="auto"/>
              <w:ind w:left="0" w:leftChars="0" w:right="0" w:rightChars="0" w:firstLine="0" w:firstLineChars="0"/>
              <w:jc w:val="center"/>
            </w:pPr>
            <w:r>
              <w:t>D21</w:t>
            </w:r>
          </w:p>
        </w:tc>
      </w:tr>
      <w:tr w14:paraId="0E2873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1FCDD5">
            <w:pPr>
              <w:snapToGrid w:val="0"/>
              <w:spacing w:after="0" w:line="240" w:lineRule="auto"/>
              <w:ind w:left="0" w:leftChars="0" w:right="0" w:rightChars="0" w:firstLine="0" w:firstLineChars="0"/>
              <w:jc w:val="center"/>
            </w:pPr>
            <w:r>
              <w:t>Q08</w:t>
            </w:r>
          </w:p>
        </w:tc>
        <w:tc>
          <w:tcPr>
            <w:tcW w:w="0" w:type="auto"/>
            <w:tcBorders>
              <w:top w:val="nil"/>
              <w:left w:val="nil"/>
              <w:bottom w:val="nil"/>
              <w:right w:val="nil"/>
            </w:tcBorders>
            <w:noWrap w:val="0"/>
            <w:tcMar>
              <w:top w:w="-1" w:type="dxa"/>
              <w:left w:w="-1" w:type="dxa"/>
              <w:bottom w:w="-1" w:type="dxa"/>
              <w:right w:w="-1" w:type="dxa"/>
            </w:tcMar>
            <w:vAlign w:val="center"/>
          </w:tcPr>
          <w:p w14:paraId="159DE0AE">
            <w:pPr>
              <w:snapToGrid w:val="0"/>
              <w:spacing w:after="0" w:line="240" w:lineRule="auto"/>
              <w:ind w:left="0" w:leftChars="0" w:right="0" w:rightChars="0" w:firstLine="0" w:firstLineChars="0"/>
              <w:jc w:val="center"/>
            </w:pPr>
            <w:r>
              <w:t>D40</w:t>
            </w:r>
          </w:p>
        </w:tc>
        <w:tc>
          <w:tcPr>
            <w:tcW w:w="0" w:type="auto"/>
            <w:tcBorders>
              <w:top w:val="nil"/>
              <w:left w:val="nil"/>
              <w:bottom w:val="nil"/>
              <w:right w:val="nil"/>
            </w:tcBorders>
            <w:noWrap w:val="0"/>
            <w:tcMar>
              <w:top w:w="-1" w:type="dxa"/>
              <w:left w:w="-1" w:type="dxa"/>
              <w:bottom w:w="-1" w:type="dxa"/>
              <w:right w:w="-1" w:type="dxa"/>
            </w:tcMar>
            <w:vAlign w:val="center"/>
          </w:tcPr>
          <w:p w14:paraId="2460533D">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noWrap w:val="0"/>
            <w:tcMar>
              <w:top w:w="-1" w:type="dxa"/>
              <w:left w:w="-1" w:type="dxa"/>
              <w:bottom w:w="-1" w:type="dxa"/>
              <w:right w:w="-1" w:type="dxa"/>
            </w:tcMar>
            <w:vAlign w:val="center"/>
          </w:tcPr>
          <w:p w14:paraId="7F460B3B">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444D9012">
            <w:pPr>
              <w:snapToGrid w:val="0"/>
              <w:spacing w:after="0" w:line="240" w:lineRule="auto"/>
              <w:ind w:left="0" w:leftChars="0" w:right="0" w:rightChars="0" w:firstLine="0" w:firstLineChars="0"/>
              <w:jc w:val="center"/>
            </w:pPr>
            <w:r>
              <w:t>D11</w:t>
            </w:r>
          </w:p>
        </w:tc>
        <w:tc>
          <w:tcPr>
            <w:tcW w:w="1582" w:type="dxa"/>
            <w:tcBorders>
              <w:top w:val="nil"/>
              <w:left w:val="nil"/>
              <w:bottom w:val="nil"/>
              <w:right w:val="nil"/>
            </w:tcBorders>
            <w:noWrap w:val="0"/>
            <w:tcMar>
              <w:top w:w="-1" w:type="dxa"/>
              <w:left w:w="-1" w:type="dxa"/>
              <w:bottom w:w="-1" w:type="dxa"/>
              <w:right w:w="-1" w:type="dxa"/>
            </w:tcMar>
            <w:vAlign w:val="center"/>
          </w:tcPr>
          <w:p w14:paraId="1DBF77DB">
            <w:pPr>
              <w:snapToGrid w:val="0"/>
              <w:spacing w:after="0" w:line="240" w:lineRule="auto"/>
              <w:ind w:left="0" w:leftChars="0" w:right="0" w:rightChars="0" w:firstLine="0" w:firstLineChars="0"/>
              <w:jc w:val="center"/>
            </w:pPr>
            <w:r>
              <w:t>D40</w:t>
            </w:r>
          </w:p>
        </w:tc>
      </w:tr>
      <w:tr w14:paraId="1A5AF6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781D77">
            <w:pPr>
              <w:snapToGrid w:val="0"/>
              <w:spacing w:after="0" w:line="240" w:lineRule="auto"/>
              <w:ind w:left="0" w:leftChars="0" w:right="0" w:rightChars="0" w:firstLine="0" w:firstLineChars="0"/>
              <w:jc w:val="center"/>
            </w:pPr>
            <w:r>
              <w:t>Q09</w:t>
            </w:r>
          </w:p>
        </w:tc>
        <w:tc>
          <w:tcPr>
            <w:tcW w:w="0" w:type="auto"/>
            <w:tcBorders>
              <w:top w:val="nil"/>
              <w:left w:val="nil"/>
              <w:bottom w:val="nil"/>
              <w:right w:val="nil"/>
            </w:tcBorders>
            <w:noWrap w:val="0"/>
            <w:tcMar>
              <w:top w:w="-1" w:type="dxa"/>
              <w:left w:w="-1" w:type="dxa"/>
              <w:bottom w:w="-1" w:type="dxa"/>
              <w:right w:w="-1" w:type="dxa"/>
            </w:tcMar>
            <w:vAlign w:val="center"/>
          </w:tcPr>
          <w:p w14:paraId="2D9C2592">
            <w:pPr>
              <w:snapToGrid w:val="0"/>
              <w:spacing w:after="0" w:line="240" w:lineRule="auto"/>
              <w:ind w:left="0" w:leftChars="0" w:right="0" w:rightChars="0" w:firstLine="0" w:firstLineChars="0"/>
              <w:jc w:val="center"/>
            </w:pPr>
            <w:r>
              <w:t>D22</w:t>
            </w:r>
          </w:p>
        </w:tc>
        <w:tc>
          <w:tcPr>
            <w:tcW w:w="0" w:type="auto"/>
            <w:tcBorders>
              <w:top w:val="nil"/>
              <w:left w:val="nil"/>
              <w:bottom w:val="nil"/>
              <w:right w:val="nil"/>
            </w:tcBorders>
            <w:noWrap w:val="0"/>
            <w:tcMar>
              <w:top w:w="-1" w:type="dxa"/>
              <w:left w:w="-1" w:type="dxa"/>
              <w:bottom w:w="-1" w:type="dxa"/>
              <w:right w:w="-1" w:type="dxa"/>
            </w:tcMar>
            <w:vAlign w:val="center"/>
          </w:tcPr>
          <w:p w14:paraId="59EBCE55">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002933B9">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0209D167">
            <w:pPr>
              <w:snapToGrid w:val="0"/>
              <w:spacing w:after="0" w:line="240" w:lineRule="auto"/>
              <w:ind w:left="0" w:leftChars="0" w:right="0" w:rightChars="0" w:firstLine="0" w:firstLineChars="0"/>
              <w:jc w:val="center"/>
            </w:pPr>
            <w:r>
              <w:t>D22</w:t>
            </w:r>
          </w:p>
        </w:tc>
        <w:tc>
          <w:tcPr>
            <w:tcW w:w="1582" w:type="dxa"/>
            <w:tcBorders>
              <w:top w:val="nil"/>
              <w:left w:val="nil"/>
              <w:bottom w:val="nil"/>
              <w:right w:val="nil"/>
            </w:tcBorders>
            <w:noWrap w:val="0"/>
            <w:tcMar>
              <w:top w:w="-1" w:type="dxa"/>
              <w:left w:w="-1" w:type="dxa"/>
              <w:bottom w:w="-1" w:type="dxa"/>
              <w:right w:w="-1" w:type="dxa"/>
            </w:tcMar>
            <w:vAlign w:val="center"/>
          </w:tcPr>
          <w:p w14:paraId="5B391802">
            <w:pPr>
              <w:snapToGrid w:val="0"/>
              <w:spacing w:after="0" w:line="240" w:lineRule="auto"/>
              <w:ind w:left="0" w:leftChars="0" w:right="0" w:rightChars="0" w:firstLine="0" w:firstLineChars="0"/>
              <w:jc w:val="center"/>
            </w:pPr>
            <w:r>
              <w:t>D22</w:t>
            </w:r>
          </w:p>
        </w:tc>
      </w:tr>
      <w:tr w14:paraId="52BD07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8DECC2">
            <w:pPr>
              <w:snapToGrid w:val="0"/>
              <w:spacing w:after="0" w:line="240" w:lineRule="auto"/>
              <w:ind w:left="0" w:leftChars="0" w:right="0" w:rightChars="0" w:firstLine="0" w:firstLineChars="0"/>
              <w:jc w:val="center"/>
            </w:pPr>
            <w:r>
              <w:t>Q10</w:t>
            </w:r>
          </w:p>
        </w:tc>
        <w:tc>
          <w:tcPr>
            <w:tcW w:w="0" w:type="auto"/>
            <w:tcBorders>
              <w:top w:val="nil"/>
              <w:left w:val="nil"/>
              <w:bottom w:val="nil"/>
              <w:right w:val="nil"/>
            </w:tcBorders>
            <w:noWrap w:val="0"/>
            <w:tcMar>
              <w:top w:w="-1" w:type="dxa"/>
              <w:left w:w="-1" w:type="dxa"/>
              <w:bottom w:w="-1" w:type="dxa"/>
              <w:right w:w="-1" w:type="dxa"/>
            </w:tcMar>
            <w:vAlign w:val="center"/>
          </w:tcPr>
          <w:p w14:paraId="27AECE78">
            <w:pPr>
              <w:snapToGrid w:val="0"/>
              <w:spacing w:after="0" w:line="240" w:lineRule="auto"/>
              <w:ind w:left="0" w:leftChars="0" w:right="0" w:rightChars="0" w:firstLine="0" w:firstLineChars="0"/>
              <w:jc w:val="center"/>
            </w:pPr>
            <w:r>
              <w:t>D20</w:t>
            </w:r>
          </w:p>
        </w:tc>
        <w:tc>
          <w:tcPr>
            <w:tcW w:w="0" w:type="auto"/>
            <w:tcBorders>
              <w:top w:val="nil"/>
              <w:left w:val="nil"/>
              <w:bottom w:val="nil"/>
              <w:right w:val="nil"/>
            </w:tcBorders>
            <w:noWrap w:val="0"/>
            <w:tcMar>
              <w:top w:w="-1" w:type="dxa"/>
              <w:left w:w="-1" w:type="dxa"/>
              <w:bottom w:w="-1" w:type="dxa"/>
              <w:right w:w="-1" w:type="dxa"/>
            </w:tcMar>
            <w:vAlign w:val="center"/>
          </w:tcPr>
          <w:p w14:paraId="6915F6D3">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553ACD61">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2D90A3D3">
            <w:pPr>
              <w:snapToGrid w:val="0"/>
              <w:spacing w:after="0" w:line="240" w:lineRule="auto"/>
              <w:ind w:left="0" w:leftChars="0" w:right="0" w:rightChars="0" w:firstLine="0" w:firstLineChars="0"/>
              <w:jc w:val="center"/>
            </w:pPr>
            <w:r>
              <w:t>D20</w:t>
            </w:r>
          </w:p>
        </w:tc>
        <w:tc>
          <w:tcPr>
            <w:tcW w:w="1582" w:type="dxa"/>
            <w:tcBorders>
              <w:top w:val="nil"/>
              <w:left w:val="nil"/>
              <w:bottom w:val="nil"/>
              <w:right w:val="nil"/>
            </w:tcBorders>
            <w:noWrap w:val="0"/>
            <w:tcMar>
              <w:top w:w="-1" w:type="dxa"/>
              <w:left w:w="-1" w:type="dxa"/>
              <w:bottom w:w="-1" w:type="dxa"/>
              <w:right w:w="-1" w:type="dxa"/>
            </w:tcMar>
            <w:vAlign w:val="center"/>
          </w:tcPr>
          <w:p w14:paraId="60D28382">
            <w:pPr>
              <w:snapToGrid w:val="0"/>
              <w:spacing w:after="0" w:line="240" w:lineRule="auto"/>
              <w:ind w:left="0" w:leftChars="0" w:right="0" w:rightChars="0" w:firstLine="0" w:firstLineChars="0"/>
              <w:jc w:val="center"/>
            </w:pPr>
            <w:r>
              <w:t>D20</w:t>
            </w:r>
          </w:p>
        </w:tc>
      </w:tr>
      <w:tr w14:paraId="7CC367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9753E5">
            <w:pPr>
              <w:snapToGrid w:val="0"/>
              <w:spacing w:after="0" w:line="240" w:lineRule="auto"/>
              <w:ind w:left="0" w:leftChars="0" w:right="0" w:rightChars="0" w:firstLine="0" w:firstLineChars="0"/>
              <w:jc w:val="center"/>
            </w:pPr>
            <w:r>
              <w:t>Q11</w:t>
            </w:r>
          </w:p>
        </w:tc>
        <w:tc>
          <w:tcPr>
            <w:tcW w:w="0" w:type="auto"/>
            <w:tcBorders>
              <w:top w:val="nil"/>
              <w:left w:val="nil"/>
              <w:bottom w:val="nil"/>
              <w:right w:val="nil"/>
            </w:tcBorders>
            <w:noWrap w:val="0"/>
            <w:tcMar>
              <w:top w:w="-1" w:type="dxa"/>
              <w:left w:w="-1" w:type="dxa"/>
              <w:bottom w:w="-1" w:type="dxa"/>
              <w:right w:w="-1" w:type="dxa"/>
            </w:tcMar>
            <w:vAlign w:val="center"/>
          </w:tcPr>
          <w:p w14:paraId="4866D359">
            <w:pPr>
              <w:snapToGrid w:val="0"/>
              <w:spacing w:after="0" w:line="240" w:lineRule="auto"/>
              <w:ind w:left="0" w:leftChars="0" w:right="0" w:rightChars="0" w:firstLine="0" w:firstLineChars="0"/>
              <w:jc w:val="center"/>
            </w:pPr>
            <w:r>
              <w:t>D27</w:t>
            </w:r>
          </w:p>
        </w:tc>
        <w:tc>
          <w:tcPr>
            <w:tcW w:w="0" w:type="auto"/>
            <w:tcBorders>
              <w:top w:val="nil"/>
              <w:left w:val="nil"/>
              <w:bottom w:val="nil"/>
              <w:right w:val="nil"/>
            </w:tcBorders>
            <w:noWrap w:val="0"/>
            <w:tcMar>
              <w:top w:w="-1" w:type="dxa"/>
              <w:left w:w="-1" w:type="dxa"/>
              <w:bottom w:w="-1" w:type="dxa"/>
              <w:right w:w="-1" w:type="dxa"/>
            </w:tcMar>
            <w:vAlign w:val="center"/>
          </w:tcPr>
          <w:p w14:paraId="6AC528B1">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2657F0F5">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noWrap w:val="0"/>
            <w:tcMar>
              <w:top w:w="-1" w:type="dxa"/>
              <w:left w:w="-1" w:type="dxa"/>
              <w:bottom w:w="-1" w:type="dxa"/>
              <w:right w:w="-1" w:type="dxa"/>
            </w:tcMar>
            <w:vAlign w:val="center"/>
          </w:tcPr>
          <w:p w14:paraId="63A655C1">
            <w:pPr>
              <w:snapToGrid w:val="0"/>
              <w:spacing w:after="0" w:line="240" w:lineRule="auto"/>
              <w:ind w:left="0" w:leftChars="0" w:right="0" w:rightChars="0" w:firstLine="0" w:firstLineChars="0"/>
              <w:jc w:val="center"/>
            </w:pPr>
            <w:r>
              <w:t>D27</w:t>
            </w:r>
          </w:p>
        </w:tc>
        <w:tc>
          <w:tcPr>
            <w:tcW w:w="1582" w:type="dxa"/>
            <w:tcBorders>
              <w:top w:val="nil"/>
              <w:left w:val="nil"/>
              <w:bottom w:val="nil"/>
              <w:right w:val="nil"/>
            </w:tcBorders>
            <w:noWrap w:val="0"/>
            <w:tcMar>
              <w:top w:w="-1" w:type="dxa"/>
              <w:left w:w="-1" w:type="dxa"/>
              <w:bottom w:w="-1" w:type="dxa"/>
              <w:right w:w="-1" w:type="dxa"/>
            </w:tcMar>
            <w:vAlign w:val="center"/>
          </w:tcPr>
          <w:p w14:paraId="17B53396">
            <w:pPr>
              <w:snapToGrid w:val="0"/>
              <w:spacing w:after="0" w:line="240" w:lineRule="auto"/>
              <w:ind w:left="0" w:leftChars="0" w:right="0" w:rightChars="0" w:firstLine="0" w:firstLineChars="0"/>
              <w:jc w:val="center"/>
            </w:pPr>
            <w:r>
              <w:t>D27</w:t>
            </w:r>
          </w:p>
        </w:tc>
      </w:tr>
      <w:tr w14:paraId="16DAC3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64" w:type="dxa"/>
            <w:tcBorders>
              <w:top w:val="nil"/>
              <w:left w:val="nil"/>
              <w:bottom w:val="single" w:color="auto" w:sz="12" w:space="0"/>
              <w:right w:val="nil"/>
            </w:tcBorders>
            <w:noWrap w:val="0"/>
            <w:tcMar>
              <w:top w:w="-1" w:type="dxa"/>
              <w:left w:w="-1" w:type="dxa"/>
              <w:bottom w:w="-1" w:type="dxa"/>
              <w:right w:w="-1" w:type="dxa"/>
            </w:tcMar>
            <w:vAlign w:val="center"/>
          </w:tcPr>
          <w:p w14:paraId="7B185B78">
            <w:pPr>
              <w:snapToGrid w:val="0"/>
              <w:spacing w:after="0" w:line="240" w:lineRule="auto"/>
              <w:ind w:left="0" w:leftChars="0" w:right="0" w:rightChars="0" w:firstLine="0" w:firstLineChars="0"/>
              <w:jc w:val="center"/>
            </w:pPr>
            <w:r>
              <w:t>Q12</w:t>
            </w:r>
          </w:p>
        </w:tc>
        <w:tc>
          <w:tcPr>
            <w:tcW w:w="1264" w:type="dxa"/>
            <w:tcBorders>
              <w:top w:val="nil"/>
              <w:left w:val="nil"/>
              <w:bottom w:val="single" w:color="auto" w:sz="12" w:space="0"/>
              <w:right w:val="nil"/>
            </w:tcBorders>
            <w:noWrap w:val="0"/>
            <w:tcMar>
              <w:top w:w="-1" w:type="dxa"/>
              <w:left w:w="-1" w:type="dxa"/>
              <w:bottom w:w="-1" w:type="dxa"/>
              <w:right w:w="-1" w:type="dxa"/>
            </w:tcMar>
            <w:vAlign w:val="center"/>
          </w:tcPr>
          <w:p w14:paraId="18E1C545">
            <w:pPr>
              <w:snapToGrid w:val="0"/>
              <w:spacing w:after="0" w:line="240" w:lineRule="auto"/>
              <w:ind w:left="0" w:leftChars="0" w:right="0" w:rightChars="0" w:firstLine="0" w:firstLineChars="0"/>
              <w:jc w:val="center"/>
            </w:pPr>
            <w:r>
              <w:t>D15</w:t>
            </w:r>
          </w:p>
        </w:tc>
        <w:tc>
          <w:tcPr>
            <w:tcW w:w="1582" w:type="dxa"/>
            <w:tcBorders>
              <w:top w:val="nil"/>
              <w:left w:val="nil"/>
              <w:bottom w:val="single" w:color="auto" w:sz="12" w:space="0"/>
              <w:right w:val="nil"/>
            </w:tcBorders>
            <w:noWrap w:val="0"/>
            <w:tcMar>
              <w:top w:w="-1" w:type="dxa"/>
              <w:left w:w="-1" w:type="dxa"/>
              <w:bottom w:w="-1" w:type="dxa"/>
              <w:right w:w="-1" w:type="dxa"/>
            </w:tcMar>
            <w:vAlign w:val="center"/>
          </w:tcPr>
          <w:p w14:paraId="0E7783AB">
            <w:pPr>
              <w:snapToGrid w:val="0"/>
              <w:spacing w:after="0" w:line="240" w:lineRule="auto"/>
              <w:ind w:left="0" w:leftChars="0" w:right="0" w:rightChars="0" w:firstLine="0" w:firstLineChars="0"/>
              <w:jc w:val="center"/>
            </w:pPr>
            <w:r>
              <w:t>1</w:t>
            </w:r>
          </w:p>
        </w:tc>
        <w:tc>
          <w:tcPr>
            <w:tcW w:w="1516" w:type="dxa"/>
            <w:tcBorders>
              <w:top w:val="nil"/>
              <w:left w:val="nil"/>
              <w:bottom w:val="single" w:color="auto" w:sz="12" w:space="0"/>
              <w:right w:val="nil"/>
            </w:tcBorders>
            <w:noWrap w:val="0"/>
            <w:tcMar>
              <w:top w:w="-1" w:type="dxa"/>
              <w:left w:w="-1" w:type="dxa"/>
              <w:bottom w:w="-1" w:type="dxa"/>
              <w:right w:w="-1" w:type="dxa"/>
            </w:tcMar>
            <w:vAlign w:val="center"/>
          </w:tcPr>
          <w:p w14:paraId="22CEC9A7">
            <w:pPr>
              <w:snapToGrid w:val="0"/>
              <w:spacing w:after="0" w:line="240" w:lineRule="auto"/>
              <w:ind w:left="0" w:leftChars="0" w:right="0" w:rightChars="0" w:firstLine="0" w:firstLineChars="0"/>
              <w:jc w:val="center"/>
            </w:pPr>
            <w:r>
              <w:t>1</w:t>
            </w:r>
          </w:p>
        </w:tc>
        <w:tc>
          <w:tcPr>
            <w:tcW w:w="1643" w:type="dxa"/>
            <w:tcBorders>
              <w:top w:val="nil"/>
              <w:left w:val="nil"/>
              <w:bottom w:val="single" w:color="auto" w:sz="12" w:space="0"/>
              <w:right w:val="nil"/>
            </w:tcBorders>
            <w:noWrap w:val="0"/>
            <w:tcMar>
              <w:top w:w="-1" w:type="dxa"/>
              <w:left w:w="-1" w:type="dxa"/>
              <w:bottom w:w="-1" w:type="dxa"/>
              <w:right w:w="-1" w:type="dxa"/>
            </w:tcMar>
            <w:vAlign w:val="center"/>
          </w:tcPr>
          <w:p w14:paraId="2BF000BA">
            <w:pPr>
              <w:snapToGrid w:val="0"/>
              <w:spacing w:after="0" w:line="240" w:lineRule="auto"/>
              <w:ind w:left="0" w:leftChars="0" w:right="0" w:rightChars="0" w:firstLine="0" w:firstLineChars="0"/>
              <w:jc w:val="center"/>
            </w:pPr>
            <w:r>
              <w:t>D15</w:t>
            </w:r>
          </w:p>
        </w:tc>
        <w:tc>
          <w:tcPr>
            <w:tcW w:w="1582" w:type="dxa"/>
            <w:tcBorders>
              <w:top w:val="nil"/>
              <w:left w:val="nil"/>
              <w:bottom w:val="single" w:color="auto" w:sz="12" w:space="0"/>
              <w:right w:val="nil"/>
            </w:tcBorders>
            <w:noWrap w:val="0"/>
            <w:tcMar>
              <w:top w:w="-1" w:type="dxa"/>
              <w:left w:w="-1" w:type="dxa"/>
              <w:bottom w:w="-1" w:type="dxa"/>
              <w:right w:w="-1" w:type="dxa"/>
            </w:tcMar>
            <w:vAlign w:val="center"/>
          </w:tcPr>
          <w:p w14:paraId="09B34739">
            <w:pPr>
              <w:snapToGrid w:val="0"/>
              <w:spacing w:after="0" w:line="240" w:lineRule="auto"/>
              <w:ind w:left="0" w:leftChars="0" w:right="0" w:rightChars="0" w:firstLine="0" w:firstLineChars="0"/>
              <w:jc w:val="center"/>
            </w:pPr>
            <w:r>
              <w:t>D15</w:t>
            </w:r>
          </w:p>
        </w:tc>
      </w:tr>
    </w:tbl>
    <w:p w14:paraId="379A6A4C">
      <w:r>
        <w:drawing>
          <wp:inline distT="0" distB="0" distL="114300" distR="114300">
            <wp:extent cx="5687695" cy="3102610"/>
            <wp:effectExtent l="0" t="0" r="1206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88000" cy="3103028"/>
                    </a:xfrm>
                    <a:prstGeom prst="rect">
                      <a:avLst/>
                    </a:prstGeom>
                  </pic:spPr>
                </pic:pic>
              </a:graphicData>
            </a:graphic>
          </wp:inline>
        </w:drawing>
      </w:r>
    </w:p>
    <w:p w14:paraId="52DA28AA">
      <w:pPr>
        <w:jc w:val="center"/>
      </w:pPr>
      <w:r>
        <w:t>图5  查询级排名变化截图</w:t>
      </w:r>
    </w:p>
    <w:p w14:paraId="77167A15">
      <w:pPr>
        <w:spacing w:line="324" w:lineRule="auto"/>
        <w:ind w:firstLine="480"/>
      </w:pPr>
      <w:r>
        <w:t>查询级结果能够更直观地展示重排序的作用。以Q08“前K列表过短会怎样限制精排上限”为例，原始TF-IDF把D40排在第2位，而语义重排序后D40上升到第1位。这说明语义模块识别到“前K列表过短”“限制精排上限”与“候选集大小影响重排序上限”之间的对应关系。对于用户而言，相关文档从第二位提升到第一位看似幅度不大，但在问答系统中可能决定生成模型首先读取哪一段上下文。</w:t>
      </w:r>
    </w:p>
    <w:p w14:paraId="24041866">
      <w:pPr>
        <w:spacing w:line="324" w:lineRule="auto"/>
        <w:ind w:firstLine="480"/>
      </w:pPr>
      <w:r>
        <w:t>再看Q12“同时利用字面匹配和向量理解的方案”，标准相关文档为D15。由于D15中包含“混合检索”“稀疏关键词匹配”“稠密向量匹配”等表达，原始TF-IDF已经能够把它排到第一位，重排序保持了该结果。这说明语义重排序并不一定要改变所有查询的排序，合理的重排序方法应当在词面匹配已经可靠时保持稳定，在词面匹配不足时进行纠偏。</w:t>
      </w:r>
    </w:p>
    <w:p w14:paraId="26D70ACB">
      <w:pPr>
        <w:spacing w:line="324" w:lineRule="auto"/>
        <w:ind w:firstLine="480"/>
      </w:pPr>
      <w:r>
        <w:t>也存在重排序未完全解决的问题。例如Q01和Q03中，相关文档在原始排序中位置较靠后，说明初始词面特征已经严重低估其相关性。虽然语义扩展能够提供一定帮助，但由于本文没有使用真正的大规模预训练语义模型，LSA对复杂语义的理解能力有限，无法在所有案例中把相关文档提升到前几位。这一现象也说明，重排序效果受到候选召回质量、语义表示能力和领域词表覆盖率的共同制约。</w:t>
      </w:r>
    </w:p>
    <w:p w14:paraId="0AC65E2A">
      <w:pPr>
        <w:pStyle w:val="4"/>
        <w:jc w:val="left"/>
      </w:pPr>
      <w:r>
        <w:t>5.3 方法有效原因</w:t>
      </w:r>
    </w:p>
    <w:p w14:paraId="0934131D">
      <w:pPr>
        <w:spacing w:line="324" w:lineRule="auto"/>
        <w:ind w:firstLine="480"/>
      </w:pPr>
      <w:r>
        <w:t>本文方法有效的原因首先来自两阶段结构。初始TF-IDF能够快速利用字面线索找到一批候选结果，避免语义模块在全部文档上进行无差别计算；语义重排序则在候选范围内补充近义表达和隐含主题信息。其次，同义词归一把“搜索、查找、检索”“精排、重排序、排序优化”“幻觉、胡编、外部知识”等表达拉近，直接缓解了中文短查询中的词汇不匹配。最后，LSA降维减少了稀疏词项空间中的噪声，使相似主题文档在低维空间中更容易接近。</w:t>
      </w:r>
    </w:p>
    <w:p w14:paraId="599C707A">
      <w:pPr>
        <w:spacing w:line="324" w:lineRule="auto"/>
        <w:ind w:firstLine="480"/>
      </w:pPr>
      <w:r>
        <w:t>从工程角度看，该方法还具有较强可解释性。相比端到端神经网络模型，同义词组和加权融合策略更容易被人工检查和调整。当某个查询排序效果不好时，可以追溯是初始召回漏掉、同义词覆盖不足、语义向量表示不充分，还是融合权重设置不合理。这种可解释性对于课程实验和小型知识库项目非常有价值。</w:t>
      </w:r>
    </w:p>
    <w:p w14:paraId="5AECA2FE">
      <w:pPr>
        <w:pStyle w:val="4"/>
        <w:jc w:val="left"/>
      </w:pPr>
      <w:r>
        <w:t>5.4 局限性分析</w:t>
      </w:r>
    </w:p>
    <w:p w14:paraId="06817C09">
      <w:pPr>
        <w:spacing w:line="324" w:lineRule="auto"/>
        <w:ind w:firstLine="480"/>
      </w:pPr>
      <w:r>
        <w:t>本文实验仍存在明显局限。第一，数据集规模较小，只有40条文档和12个查询，不能代表真实搜索系统中的复杂分布。第二，每个查询只标注1条最相关文档，而真实检索任务往往存在多个不同相关等级的文档。第三，同义词归一依赖人工构造，覆盖范围有限，遇到未收录表达时效果会下降。第四，LSA属于较早期语义方法，无法像BERT类模型一样充分利用上下文信息。第五，实验没有测量延迟和资源消耗，因此还不能完整评估工程部署成本。</w:t>
      </w:r>
    </w:p>
    <w:p w14:paraId="705C6F98">
      <w:pPr>
        <w:spacing w:line="324" w:lineRule="auto"/>
        <w:ind w:firstLine="480"/>
      </w:pPr>
      <w:r>
        <w:t>这些局限并不否定实验结论，而是说明本文更适合作为语义重排序思想的教学复现。若要扩展为更严谨的科研实验，需要使用更大规模公开数据集或真实业务日志，引入多级相关性标注，并与BM25、Sentence-BERT、BGE、Cross-Encoder和大语言模型重排序器等方法进行更全面比较[5][6][7][10]。</w:t>
      </w:r>
    </w:p>
    <w:p w14:paraId="5726DFF0">
      <w:pPr>
        <w:pStyle w:val="3"/>
        <w:jc w:val="left"/>
      </w:pPr>
      <w:r>
        <w:t>6 应用讨论</w:t>
      </w:r>
    </w:p>
    <w:p w14:paraId="40D11129">
      <w:pPr>
        <w:pStyle w:val="4"/>
        <w:jc w:val="left"/>
      </w:pPr>
      <w:r>
        <w:t>6.1 在智能问答系统中的应用</w:t>
      </w:r>
    </w:p>
    <w:p w14:paraId="2AB7664E">
      <w:pPr>
        <w:spacing w:line="324" w:lineRule="auto"/>
        <w:ind w:firstLine="480"/>
      </w:pPr>
      <w:r>
        <w:t>在智能问答系统中，检索模块通常负责为生成模型提供依据。如果检索结果排序较差，生成模型可能读取到无关片段，从而出现答非所问或编造内容。语义重排序可以在生成前对候选上下文进行筛选，把更可能回答用户问题的文档放在前面。对于企业知识库问答，重排序还关系到答案可追溯性，因为用户往往需要知道答案依据来自哪份制度、哪条规范或哪段说明。</w:t>
      </w:r>
    </w:p>
    <w:p w14:paraId="08E1DAEF">
      <w:pPr>
        <w:pStyle w:val="4"/>
        <w:jc w:val="left"/>
      </w:pPr>
      <w:r>
        <w:t>6.2 在校园和企业知识库中的应用</w:t>
      </w:r>
    </w:p>
    <w:p w14:paraId="191B42CA">
      <w:pPr>
        <w:spacing w:line="324" w:lineRule="auto"/>
        <w:ind w:firstLine="480"/>
      </w:pPr>
      <w:r>
        <w:t>校园图书馆、课程资料库和企业知识库通常包含大量结构不统一的短文档。用户查询也常常不是标准关键词，而是自然语言问题。例如学生可能输入“怎么找和人工智能检索有关的资料”，员工可能输入“报销制度里交通费怎么处理”。这类查询与文档标题或正文不一定完全重合，语义重排序能够提高系统对意图的理解能力，降低用户反复修改关键词的成本。</w:t>
      </w:r>
    </w:p>
    <w:p w14:paraId="673FB2C9">
      <w:pPr>
        <w:pStyle w:val="4"/>
        <w:jc w:val="left"/>
      </w:pPr>
      <w:r>
        <w:t>6.3 与大模型重排序的关系</w:t>
      </w:r>
    </w:p>
    <w:p w14:paraId="0132F12F">
      <w:pPr>
        <w:spacing w:line="324" w:lineRule="auto"/>
        <w:ind w:firstLine="480"/>
      </w:pPr>
      <w:r>
        <w:t>本文采用的LSA语义重排序属于轻量级方案。若系统拥有更强算力和模型资源，可以把语义模块替换为预训练句向量模型或大语言模型重排序器。句向量模型适合批量计算和向量索引，Cross-Encoder适合小候选集精排，大语言模型则可以通过提示词判断候选文档是否真正回答了问题。它们的共同思想仍然是：先用高效方法召回候选，再用更强语义能力进行精细排序[6][10]。</w:t>
      </w:r>
    </w:p>
    <w:p w14:paraId="0703CCE8">
      <w:pPr>
        <w:pStyle w:val="3"/>
        <w:jc w:val="left"/>
      </w:pPr>
      <w:r>
        <w:t>7 结论与展望</w:t>
      </w:r>
    </w:p>
    <w:p w14:paraId="46AC8AAD">
      <w:pPr>
        <w:spacing w:line="324" w:lineRule="auto"/>
        <w:ind w:firstLine="480"/>
      </w:pPr>
      <w:r>
        <w:t>本文围绕信息检索结果优化问题，设计并复现了一种基于语义重排序的两阶段检索方法。该方法首先使用字符n-gram TF-IDF完成初始排序，再通过同义词归一、潜在语义分析和余弦相似度进行候选重排序。实验结果表明，相比原始TF-IDF排序，语义重排序在Top-1准确率、Hit@K、MRR和nDCG等指标上均有所提升，能够使相关文档更靠前地呈现给用户。研究说明，在中文短查询和问答式检索场景中，引入语义信息是提升排序质量的有效途径。</w:t>
      </w:r>
    </w:p>
    <w:p w14:paraId="6D627A6E">
      <w:pPr>
        <w:spacing w:line="324" w:lineRule="auto"/>
        <w:ind w:firstLine="480"/>
      </w:pPr>
      <w:r>
        <w:t>未来可以从四个方向继续改进。第一，扩大数据集规模，使用公开中文检索数据集或真实业务日志进行验证。第二，引入更强的中文句向量模型，如BGE、text2vec或多语言Sentence-BERT，替换本文的LSA表示。第三，在候选集较小的情况下使用Cross-Encoder或大语言模型进行精排，以获得更强的语义交互能力。第四，把重排序模块与RAG系统结合，进一步评估检索排序对最终生成答案准确率、引用可靠性和用户满意度的影响[6][10]。</w:t>
      </w:r>
    </w:p>
    <w:p w14:paraId="3FE1931A">
      <w:pPr>
        <w:pStyle w:val="3"/>
        <w:jc w:val="left"/>
      </w:pPr>
      <w:r>
        <w:t>参考文献</w:t>
      </w:r>
    </w:p>
    <w:p w14:paraId="187B7B24">
      <w:r>
        <w:rPr>
          <w:rFonts w:ascii="宋体" w:hAnsi="宋体" w:eastAsia="宋体" w:cs="宋体"/>
          <w:sz w:val="21"/>
          <w:szCs w:val="21"/>
        </w:rPr>
        <w:t>[1] 庞亮, 邓竞成, 顾佳, 等. 大语言模型时代的信息检索综述[C]//第23届中国计算语言学大会论文集. 太原: 中国中文信息学会, 2024: 98-119.</w:t>
      </w:r>
      <w:r>
        <w:rPr>
          <w:rFonts w:ascii="宋体" w:hAnsi="宋体" w:eastAsia="宋体" w:cs="宋体"/>
          <w:sz w:val="21"/>
          <w:szCs w:val="21"/>
        </w:rPr>
        <w:br w:type="textWrapping"/>
      </w:r>
      <w:r>
        <w:rPr>
          <w:rFonts w:ascii="宋体" w:hAnsi="宋体" w:eastAsia="宋体" w:cs="宋体"/>
          <w:sz w:val="21"/>
          <w:szCs w:val="21"/>
        </w:rPr>
        <w:t>[2] 冯掌印, 朱坤, 马伟涛, 等. 浅谈大模型时代下的检索增强: 发展趋势、挑战与展望[C]//第23届中国计算语言学大会论文集. 太原: 中国中文信息学会, 2024: 151-168.</w:t>
      </w:r>
      <w:r>
        <w:rPr>
          <w:rFonts w:ascii="宋体" w:hAnsi="宋体" w:eastAsia="宋体" w:cs="宋体"/>
          <w:sz w:val="21"/>
          <w:szCs w:val="21"/>
        </w:rPr>
        <w:br w:type="textWrapping"/>
      </w:r>
      <w:r>
        <w:rPr>
          <w:rFonts w:ascii="宋体" w:hAnsi="宋体" w:eastAsia="宋体" w:cs="宋体"/>
          <w:sz w:val="21"/>
          <w:szCs w:val="21"/>
        </w:rPr>
        <w:t>[3] Zhao P, Zhang H, Yu Q, et al. Retrieval-augmented generation for AI-generated content: A survey[J]. Data Science and Engineering, 2026, 11: 1-29.</w:t>
      </w:r>
      <w:r>
        <w:rPr>
          <w:rFonts w:ascii="宋体" w:hAnsi="宋体" w:eastAsia="宋体" w:cs="宋体"/>
          <w:sz w:val="21"/>
          <w:szCs w:val="21"/>
        </w:rPr>
        <w:br w:type="textWrapping"/>
      </w:r>
      <w:r>
        <w:rPr>
          <w:rFonts w:ascii="宋体" w:hAnsi="宋体" w:eastAsia="宋体" w:cs="宋体"/>
          <w:sz w:val="21"/>
          <w:szCs w:val="21"/>
        </w:rPr>
        <w:t xml:space="preserve">[4] Gao Y, Xiong Y, Gao X, et al. Retrieval-augmented generation for large language models: A survey[EB/OL]. (2023-12-18)[2026-04-29]. </w:t>
      </w:r>
      <w:r>
        <w:rPr>
          <w:rFonts w:ascii="宋体" w:hAnsi="宋体" w:eastAsia="宋体" w:cs="宋体"/>
          <w:sz w:val="21"/>
          <w:szCs w:val="21"/>
        </w:rPr>
        <w:fldChar w:fldCharType="begin"/>
      </w:r>
      <w:r>
        <w:rPr>
          <w:rFonts w:ascii="宋体" w:hAnsi="宋体" w:eastAsia="宋体" w:cs="宋体"/>
          <w:sz w:val="21"/>
          <w:szCs w:val="21"/>
        </w:rPr>
        <w:instrText xml:space="preserve"> HYPERLINK "https://arxiv.org/abs/2312.10997" \t "_new" </w:instrText>
      </w:r>
      <w:r>
        <w:rPr>
          <w:rFonts w:ascii="宋体" w:hAnsi="宋体" w:eastAsia="宋体" w:cs="宋体"/>
          <w:sz w:val="21"/>
          <w:szCs w:val="21"/>
        </w:rPr>
        <w:fldChar w:fldCharType="separate"/>
      </w:r>
      <w:r>
        <w:rPr>
          <w:rStyle w:val="136"/>
          <w:rFonts w:ascii="宋体" w:hAnsi="宋体" w:eastAsia="宋体" w:cs="宋体"/>
          <w:sz w:val="21"/>
          <w:szCs w:val="21"/>
        </w:rPr>
        <w:t>https://arxiv.org/abs/2312.10997</w:t>
      </w:r>
      <w:r>
        <w:rPr>
          <w:rFonts w:ascii="宋体" w:hAnsi="宋体" w:eastAsia="宋体" w:cs="宋体"/>
          <w:sz w:val="21"/>
          <w:szCs w:val="21"/>
        </w:rPr>
        <w:fldChar w:fldCharType="end"/>
      </w:r>
      <w:r>
        <w:rPr>
          <w:rFonts w:ascii="宋体" w:hAnsi="宋体" w:eastAsia="宋体" w:cs="宋体"/>
          <w:sz w:val="21"/>
          <w:szCs w:val="21"/>
        </w:rPr>
        <w:br w:type="textWrapping"/>
      </w:r>
      <w:r>
        <w:rPr>
          <w:rFonts w:ascii="宋体" w:hAnsi="宋体" w:eastAsia="宋体" w:cs="宋体"/>
          <w:sz w:val="21"/>
          <w:szCs w:val="21"/>
        </w:rPr>
        <w:t>[5] Thakur N, Reimers N, Rücklé A, et al. BEIR: A heterogeneous benchmark for zero-shot evaluation of information retrieval models[C]//Proceedings of the NeurIPS Datasets and Benchmarks Track. 2021.</w:t>
      </w:r>
      <w:r>
        <w:rPr>
          <w:rFonts w:ascii="宋体" w:hAnsi="宋体" w:eastAsia="宋体" w:cs="宋体"/>
          <w:sz w:val="21"/>
          <w:szCs w:val="21"/>
        </w:rPr>
        <w:br w:type="textWrapping"/>
      </w:r>
      <w:r>
        <w:rPr>
          <w:rFonts w:ascii="宋体" w:hAnsi="宋体" w:eastAsia="宋体" w:cs="宋体"/>
          <w:sz w:val="21"/>
          <w:szCs w:val="21"/>
        </w:rPr>
        <w:t>[6] Reimers N, Gurevych I. Sentence-BERT: Sentence embeddings using Siamese BERT-networks[C]//Proceedings of the 2019 Conference on EMNLP-IJCNLP. 2019: 3982-3992.</w:t>
      </w:r>
      <w:r>
        <w:rPr>
          <w:rFonts w:ascii="宋体" w:hAnsi="宋体" w:eastAsia="宋体" w:cs="宋体"/>
          <w:sz w:val="21"/>
          <w:szCs w:val="21"/>
        </w:rPr>
        <w:br w:type="textWrapping"/>
      </w:r>
      <w:r>
        <w:rPr>
          <w:rFonts w:ascii="宋体" w:hAnsi="宋体" w:eastAsia="宋体" w:cs="宋体"/>
          <w:sz w:val="21"/>
          <w:szCs w:val="21"/>
        </w:rPr>
        <w:t>[7] Robertson S, Zaragoza H. The probabilistic relevance framework: BM25 and beyond[J]. Foundations and Trends in Information Retrieval, 2009, 3(4): 333-389.</w:t>
      </w:r>
      <w:r>
        <w:rPr>
          <w:rFonts w:ascii="宋体" w:hAnsi="宋体" w:eastAsia="宋体" w:cs="宋体"/>
          <w:sz w:val="21"/>
          <w:szCs w:val="21"/>
        </w:rPr>
        <w:br w:type="textWrapping"/>
      </w:r>
      <w:r>
        <w:rPr>
          <w:rFonts w:ascii="宋体" w:hAnsi="宋体" w:eastAsia="宋体" w:cs="宋体"/>
          <w:sz w:val="21"/>
          <w:szCs w:val="21"/>
        </w:rPr>
        <w:t>[8] Manning C D, Raghavan P, Schütze H. Introduction to information retrieval[M]. Cambridge: Cambridge University Press, 2008.</w:t>
      </w:r>
      <w:r>
        <w:rPr>
          <w:rFonts w:ascii="宋体" w:hAnsi="宋体" w:eastAsia="宋体" w:cs="宋体"/>
          <w:sz w:val="21"/>
          <w:szCs w:val="21"/>
        </w:rPr>
        <w:br w:type="textWrapping"/>
      </w:r>
      <w:r>
        <w:rPr>
          <w:rFonts w:ascii="宋体" w:hAnsi="宋体" w:eastAsia="宋体" w:cs="宋体"/>
          <w:sz w:val="21"/>
          <w:szCs w:val="21"/>
        </w:rPr>
        <w:t>[9] Karpukhin V, Oguz B, Min S, et al. Dense passage retrieval for open-domain question answering[C]//Proceedings of EMNLP. 2020: 6769-6781.</w:t>
      </w:r>
      <w:r>
        <w:rPr>
          <w:rFonts w:ascii="宋体" w:hAnsi="宋体" w:eastAsia="宋体" w:cs="宋体"/>
          <w:sz w:val="21"/>
          <w:szCs w:val="21"/>
        </w:rPr>
        <w:br w:type="textWrapping"/>
      </w:r>
      <w:r>
        <w:rPr>
          <w:rFonts w:ascii="宋体" w:hAnsi="宋体" w:eastAsia="宋体" w:cs="宋体"/>
          <w:sz w:val="21"/>
          <w:szCs w:val="21"/>
        </w:rPr>
        <w:t xml:space="preserve">[10] Nogueira R, Cho K. Passage re-ranking with BERT[EB/OL]. (2019-01-14)[2026-04-29]. </w:t>
      </w:r>
      <w:r>
        <w:rPr>
          <w:rFonts w:ascii="宋体" w:hAnsi="宋体" w:eastAsia="宋体" w:cs="宋体"/>
          <w:sz w:val="21"/>
          <w:szCs w:val="21"/>
        </w:rPr>
        <w:fldChar w:fldCharType="begin"/>
      </w:r>
      <w:r>
        <w:rPr>
          <w:rFonts w:ascii="宋体" w:hAnsi="宋体" w:eastAsia="宋体" w:cs="宋体"/>
          <w:sz w:val="21"/>
          <w:szCs w:val="21"/>
        </w:rPr>
        <w:instrText xml:space="preserve"> HYPERLINK "https://arxiv.org/abs/1901.04085" \t "_new" </w:instrText>
      </w:r>
      <w:r>
        <w:rPr>
          <w:rFonts w:ascii="宋体" w:hAnsi="宋体" w:eastAsia="宋体" w:cs="宋体"/>
          <w:sz w:val="21"/>
          <w:szCs w:val="21"/>
        </w:rPr>
        <w:fldChar w:fldCharType="separate"/>
      </w:r>
      <w:r>
        <w:rPr>
          <w:rStyle w:val="136"/>
          <w:rFonts w:ascii="宋体" w:hAnsi="宋体" w:eastAsia="宋体" w:cs="宋体"/>
          <w:sz w:val="21"/>
          <w:szCs w:val="21"/>
        </w:rPr>
        <w:t>https://arxiv.org/abs/1901.04085</w:t>
      </w:r>
      <w:r>
        <w:rPr>
          <w:rFonts w:ascii="宋体" w:hAnsi="宋体" w:eastAsia="宋体" w:cs="宋体"/>
          <w:sz w:val="21"/>
          <w:szCs w:val="21"/>
        </w:rPr>
        <w:fldChar w:fldCharType="end"/>
      </w:r>
      <w:r>
        <w:rPr>
          <w:rFonts w:ascii="宋体" w:hAnsi="宋体" w:eastAsia="宋体" w:cs="宋体"/>
          <w:sz w:val="21"/>
          <w:szCs w:val="21"/>
        </w:rPr>
        <w:br w:type="textWrapping"/>
      </w:r>
      <w:r>
        <w:rPr>
          <w:rFonts w:ascii="宋体" w:hAnsi="宋体" w:eastAsia="宋体" w:cs="宋体"/>
          <w:sz w:val="21"/>
          <w:szCs w:val="21"/>
        </w:rPr>
        <w:t xml:space="preserve">[11] Sentence Transformers Documentation. Semantic textual similarity[EB/OL]. [2026-04-29]. </w:t>
      </w:r>
      <w:r>
        <w:rPr>
          <w:rFonts w:ascii="宋体" w:hAnsi="宋体" w:eastAsia="宋体" w:cs="宋体"/>
          <w:sz w:val="21"/>
          <w:szCs w:val="21"/>
        </w:rPr>
        <w:fldChar w:fldCharType="begin"/>
      </w:r>
      <w:r>
        <w:rPr>
          <w:rFonts w:ascii="宋体" w:hAnsi="宋体" w:eastAsia="宋体" w:cs="宋体"/>
          <w:sz w:val="21"/>
          <w:szCs w:val="21"/>
        </w:rPr>
        <w:instrText xml:space="preserve"> HYPERLINK "https://www.sbert.net/docs/sentence_transformer/usage/semantic_textual_similarity.html" \t "_new" </w:instrText>
      </w:r>
      <w:r>
        <w:rPr>
          <w:rFonts w:ascii="宋体" w:hAnsi="宋体" w:eastAsia="宋体" w:cs="宋体"/>
          <w:sz w:val="21"/>
          <w:szCs w:val="21"/>
        </w:rPr>
        <w:fldChar w:fldCharType="separate"/>
      </w:r>
      <w:r>
        <w:rPr>
          <w:rStyle w:val="136"/>
          <w:rFonts w:ascii="宋体" w:hAnsi="宋体" w:eastAsia="宋体" w:cs="宋体"/>
          <w:sz w:val="21"/>
          <w:szCs w:val="21"/>
        </w:rPr>
        <w:t>https://www.sbert.net/docs/sentence_transformer/usage/semantic_textual_similarity.html</w:t>
      </w:r>
      <w:r>
        <w:rPr>
          <w:rFonts w:ascii="宋体" w:hAnsi="宋体" w:eastAsia="宋体" w:cs="宋体"/>
          <w:sz w:val="21"/>
          <w:szCs w:val="21"/>
        </w:rPr>
        <w:fldChar w:fldCharType="end"/>
      </w:r>
      <w:r>
        <w:br w:type="page"/>
      </w:r>
    </w:p>
    <w:p w14:paraId="64AA1975">
      <w:pPr>
        <w:spacing w:line="240" w:lineRule="auto"/>
        <w:ind w:firstLine="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5238B8"/>
    <w:rsid w:val="22146DBF"/>
    <w:rsid w:val="27B12CAC"/>
    <w:rsid w:val="5FF46D36"/>
    <w:rsid w:val="688F22C8"/>
    <w:rsid w:val="72D8208A"/>
    <w:rsid w:val="7CD73DE6"/>
    <w:rsid w:val="7DD221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41"/>
    <w:unhideWhenUsed/>
    <w:qFormat/>
    <w:uiPriority w:val="9"/>
    <w:pPr>
      <w:keepNext/>
      <w:keepLines/>
      <w:spacing w:before="200" w:after="0"/>
      <w:outlineLvl w:val="1"/>
    </w:pPr>
    <w:rPr>
      <w:rFonts w:asciiTheme="majorAscii" w:hAnsiTheme="majorAscii" w:eastAsiaTheme="majorEastAsia" w:cstheme="majorBidi"/>
      <w:b/>
      <w:bCs/>
      <w:color w:val="000000" w:themeColor="text1"/>
      <w:sz w:val="24"/>
      <w:szCs w:val="26"/>
      <w14:textFill>
        <w14:solidFill>
          <w14:schemeClr w14:val="tx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33"/>
    <w:link w:val="4"/>
    <w:qFormat/>
    <w:uiPriority w:val="9"/>
    <w:rPr>
      <w:rFonts w:asciiTheme="majorAscii" w:hAnsiTheme="majorAscii" w:eastAsiaTheme="majorEastAsia" w:cstheme="majorBidi"/>
      <w:b/>
      <w:bCs/>
      <w:color w:val="000000" w:themeColor="text1"/>
      <w:sz w:val="24"/>
      <w:szCs w:val="26"/>
      <w14:textFill>
        <w14:solidFill>
          <w14:schemeClr w14:val="tx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3027</Words>
  <Characters>3325</Characters>
  <Lines>0</Lines>
  <Paragraphs>0</Paragraphs>
  <TotalTime>363</TotalTime>
  <ScaleCrop>false</ScaleCrop>
  <LinksUpToDate>false</LinksUpToDate>
  <CharactersWithSpaces>3337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Живидыц</cp:lastModifiedBy>
  <dcterms:modified xsi:type="dcterms:W3CDTF">2026-04-29T14:30:55Z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eyJoZGlkIjoiNzNkOTZhYjI1YjZhOTZjMGQyOWEyZjJiZDQzN2M5MmEiLCJ1c2VySWQiOiIxNTI1MDE0MTUxIn0=</vt:lpwstr>
  </property>
  <property fmtid="{D5CDD505-2E9C-101B-9397-08002B2CF9AE}" pid="3" name="KSOProductBuildVer">
    <vt:lpwstr>2052-12.1.0.25865</vt:lpwstr>
  </property>
  <property fmtid="{D5CDD505-2E9C-101B-9397-08002B2CF9AE}" pid="4" name="ICV">
    <vt:lpwstr>7CBEF0DC695D42EABFCAA979C8AE6C5C_12</vt:lpwstr>
  </property>
</Properties>
</file>