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8504 v1.0.2 RC2 緊急修正版 使用マニュアル</w:t>
      </w:r>
    </w:p>
    <w:p>
      <w:r>
        <w:t>Macローカル版｜2026年10月28日｜研究者向け｜緊急インシデント対処</w:t>
      </w:r>
    </w:p>
    <w:p>
      <w:r>
        <w:t>状態：配布候補のコードと合成試験は完了。Mac実機での新バージョン受入・GitHub v1.0.2公開は、受領ログが確認できるまで未完了。</w:t>
      </w:r>
    </w:p>
    <w:p>
      <w:pPr>
        <w:pStyle w:val="Heading1"/>
      </w:pPr>
      <w:r>
        <w:t>1. なぜ緊急修正したのか</w:t>
      </w:r>
    </w:p>
    <w:p>
      <w:r>
        <w:t>前版v1.0.1では、2型糖尿病（T2D）について保存された7つの過去JSONと、特定マウス1系統の外部根拠データを使った処理が、汎用的な疾患–マウス根拠表示と同じ画面に組み込まれていました。研究者に一般の疾患でも照合されているように誤解させるおそれがあり、重大インシデントとして事後監査しています。</w:t>
      </w:r>
    </w:p>
    <w:p>
      <w:pPr>
        <w:pStyle w:val="Heading1"/>
      </w:pPr>
      <w:r>
        <w:t>2. v1.0.2で変更したこと</w:t>
      </w:r>
    </w:p>
    <w:tbl>
      <w:tblPr>
        <w:tblStyle w:val="LightShading-Accent1"/>
        <w:tblW w:type="auto" w:w="0"/>
        <w:jc w:val="center"/>
        <w:tblLayout w:type="fixed"/>
        <w:tblLook w:firstColumn="1" w:firstRow="1" w:lastColumn="0" w:lastRow="0" w:noHBand="0" w:noVBand="1" w:val="04A0"/>
      </w:tblPr>
      <w:tblGrid>
        <w:gridCol w:w="3289"/>
        <w:gridCol w:w="3289"/>
        <w:gridCol w:w="3289"/>
      </w:tblGrid>
      <w:tr>
        <w:trPr>
          <w:cantSplit/>
        </w:trPr>
        <w:tc>
          <w:tcPr>
            <w:tcW w:type="dxa" w:w="1928"/>
            <w:vAlign w:val="center"/>
          </w:tcPr>
          <w:p>
            <w:pPr>
              <w:spacing w:after="40" w:before="40"/>
            </w:pPr>
            <w:r>
              <w:rPr>
                <w:b/>
                <w:sz w:val="16"/>
              </w:rPr>
              <w:t>機能</w:t>
            </w:r>
          </w:p>
        </w:tc>
        <w:tc>
          <w:tcPr>
            <w:tcW w:type="dxa" w:w="3005"/>
            <w:vAlign w:val="center"/>
          </w:tcPr>
          <w:p>
            <w:pPr>
              <w:spacing w:after="40" w:before="40"/>
            </w:pPr>
            <w:r>
              <w:rPr>
                <w:b/>
                <w:sz w:val="16"/>
              </w:rPr>
              <w:t>現在の扱い</w:t>
            </w:r>
          </w:p>
        </w:tc>
        <w:tc>
          <w:tcPr>
            <w:tcW w:type="dxa" w:w="4649"/>
            <w:vAlign w:val="center"/>
          </w:tcPr>
          <w:p>
            <w:pPr>
              <w:spacing w:after="40" w:before="40"/>
            </w:pPr>
            <w:r>
              <w:rPr>
                <w:b/>
                <w:sz w:val="16"/>
              </w:rPr>
              <w:t>利用者が読み取ってよいこと</w:t>
            </w:r>
          </w:p>
        </w:tc>
      </w:tr>
      <w:tr>
        <w:trPr>
          <w:cantSplit/>
        </w:trPr>
        <w:tc>
          <w:tcPr>
            <w:tcW w:type="dxa" w:w="1928"/>
            <w:vAlign w:val="center"/>
          </w:tcPr>
          <w:p>
            <w:pPr>
              <w:spacing w:after="40" w:before="40"/>
            </w:pPr>
            <w:r>
              <w:rPr>
                <w:sz w:val="16"/>
              </w:rPr>
              <w:t>6手法KGE順位</w:t>
            </w:r>
          </w:p>
        </w:tc>
        <w:tc>
          <w:tcPr>
            <w:tcW w:type="dxa" w:w="3005"/>
            <w:vAlign w:val="center"/>
          </w:tcPr>
          <w:p>
            <w:pPr>
              <w:spacing w:after="40" w:before="40"/>
            </w:pPr>
            <w:r>
              <w:rPr>
                <w:sz w:val="16"/>
              </w:rPr>
              <w:t>変更なし・旧正式FIX1原本参照</w:t>
            </w:r>
          </w:p>
        </w:tc>
        <w:tc>
          <w:tcPr>
            <w:tcW w:type="dxa" w:w="4649"/>
            <w:vAlign w:val="center"/>
          </w:tcPr>
          <w:p>
            <w:pPr>
              <w:spacing w:after="40" w:before="40"/>
            </w:pPr>
            <w:r>
              <w:rPr>
                <w:sz w:val="16"/>
              </w:rPr>
              <w:t>保存済み順位を閲覧できる。順位形成理由は証明されない</w:t>
            </w:r>
          </w:p>
        </w:tc>
      </w:tr>
      <w:tr>
        <w:trPr>
          <w:cantSplit/>
        </w:trPr>
        <w:tc>
          <w:tcPr>
            <w:tcW w:type="dxa" w:w="1928"/>
            <w:vAlign w:val="center"/>
          </w:tcPr>
          <w:p>
            <w:pPr>
              <w:spacing w:after="40" w:before="40"/>
            </w:pPr>
            <w:r>
              <w:rPr>
                <w:sz w:val="16"/>
              </w:rPr>
              <w:t>固定Train/GO</w:t>
            </w:r>
          </w:p>
        </w:tc>
        <w:tc>
          <w:tcPr>
            <w:tcW w:type="dxa" w:w="3005"/>
            <w:vAlign w:val="center"/>
          </w:tcPr>
          <w:p>
            <w:pPr>
              <w:spacing w:after="40" w:before="40"/>
            </w:pPr>
            <w:r>
              <w:rPr>
                <w:sz w:val="16"/>
              </w:rPr>
              <w:t>選択疾患と選択マウスに合わせて表示</w:t>
            </w:r>
          </w:p>
        </w:tc>
        <w:tc>
          <w:tcPr>
            <w:tcW w:type="dxa" w:w="4649"/>
            <w:vAlign w:val="center"/>
          </w:tcPr>
          <w:p>
            <w:pPr>
              <w:spacing w:after="40" w:before="40"/>
            </w:pPr>
            <w:r>
              <w:rPr>
                <w:sz w:val="16"/>
              </w:rPr>
              <w:t>学習グラフ上の接続・GO注釈を確認する（因果証拠ではない）</w:t>
            </w:r>
          </w:p>
        </w:tc>
      </w:tr>
      <w:tr>
        <w:trPr>
          <w:cantSplit/>
        </w:trPr>
        <w:tc>
          <w:tcPr>
            <w:tcW w:type="dxa" w:w="1928"/>
            <w:vAlign w:val="center"/>
          </w:tcPr>
          <w:p>
            <w:pPr>
              <w:spacing w:after="40" w:before="40"/>
            </w:pPr>
            <w:r>
              <w:rPr>
                <w:sz w:val="16"/>
              </w:rPr>
              <w:t>過去SPARQL+LLMの7ファイル</w:t>
            </w:r>
          </w:p>
        </w:tc>
        <w:tc>
          <w:tcPr>
            <w:tcW w:type="dxa" w:w="3005"/>
            <w:vAlign w:val="center"/>
          </w:tcPr>
          <w:p>
            <w:pPr>
              <w:spacing w:after="40" w:before="40"/>
            </w:pPr>
            <w:r>
              <w:rPr>
                <w:sz w:val="16"/>
              </w:rPr>
              <w:t>汎用表示から除外・未接続</w:t>
            </w:r>
          </w:p>
        </w:tc>
        <w:tc>
          <w:tcPr>
            <w:tcW w:type="dxa" w:w="4649"/>
            <w:vAlign w:val="center"/>
          </w:tcPr>
          <w:p>
            <w:pPr>
              <w:spacing w:after="40" w:before="40"/>
            </w:pPr>
            <w:r>
              <w:rPr>
                <w:sz w:val="16"/>
              </w:rPr>
              <w:t>他疾患で「検索結果なし」とは言えない</w:t>
            </w:r>
          </w:p>
        </w:tc>
      </w:tr>
      <w:tr>
        <w:trPr>
          <w:cantSplit/>
        </w:trPr>
        <w:tc>
          <w:tcPr>
            <w:tcW w:type="dxa" w:w="1928"/>
            <w:vAlign w:val="center"/>
          </w:tcPr>
          <w:p>
            <w:pPr>
              <w:spacing w:after="40" w:before="40"/>
            </w:pPr>
            <w:r>
              <w:rPr>
                <w:sz w:val="16"/>
              </w:rPr>
              <w:t>系統・アレル・原著の候補固有外部情報</w:t>
            </w:r>
          </w:p>
        </w:tc>
        <w:tc>
          <w:tcPr>
            <w:tcW w:type="dxa" w:w="3005"/>
            <w:vAlign w:val="center"/>
          </w:tcPr>
          <w:p>
            <w:pPr>
              <w:spacing w:after="40" w:before="40"/>
            </w:pPr>
            <w:r>
              <w:rPr>
                <w:sz w:val="16"/>
              </w:rPr>
              <w:t>固定1候補の自動読込を停止・未接続</w:t>
            </w:r>
          </w:p>
        </w:tc>
        <w:tc>
          <w:tcPr>
            <w:tcW w:type="dxa" w:w="4649"/>
            <w:vAlign w:val="center"/>
          </w:tcPr>
          <w:p>
            <w:pPr>
              <w:spacing w:after="40" w:before="40"/>
            </w:pPr>
            <w:r>
              <w:rPr>
                <w:sz w:val="16"/>
              </w:rPr>
              <w:t>「情報なし」「該当文献なし」とは判定できない</w:t>
            </w:r>
          </w:p>
        </w:tc>
      </w:tr>
      <w:tr>
        <w:trPr>
          <w:cantSplit/>
        </w:trPr>
        <w:tc>
          <w:tcPr>
            <w:tcW w:type="dxa" w:w="1928"/>
            <w:vAlign w:val="center"/>
          </w:tcPr>
          <w:p>
            <w:pPr>
              <w:spacing w:after="40" w:before="40"/>
            </w:pPr>
            <w:r>
              <w:rPr>
                <w:sz w:val="16"/>
              </w:rPr>
              <w:t>暫定F/HML</w:t>
            </w:r>
          </w:p>
        </w:tc>
        <w:tc>
          <w:tcPr>
            <w:tcW w:type="dxa" w:w="3005"/>
            <w:vAlign w:val="center"/>
          </w:tcPr>
          <w:p>
            <w:pPr>
              <w:spacing w:after="40" w:before="40"/>
            </w:pPr>
            <w:r>
              <w:rPr>
                <w:sz w:val="16"/>
              </w:rPr>
              <w:t>固定1候補向け肯定提案を停止</w:t>
            </w:r>
          </w:p>
        </w:tc>
        <w:tc>
          <w:tcPr>
            <w:tcW w:type="dxa" w:w="4649"/>
            <w:vAlign w:val="center"/>
          </w:tcPr>
          <w:p>
            <w:pPr>
              <w:spacing w:after="40" w:before="40"/>
            </w:pPr>
            <w:r>
              <w:rPr>
                <w:sz w:val="16"/>
              </w:rPr>
              <w:t>正式・暫定ともNot assessed。研究者評価が別途必要</w:t>
            </w:r>
          </w:p>
        </w:tc>
      </w:tr>
      <w:tr>
        <w:trPr>
          <w:cantSplit/>
        </w:trPr>
        <w:tc>
          <w:tcPr>
            <w:tcW w:type="dxa" w:w="1928"/>
            <w:vAlign w:val="center"/>
          </w:tcPr>
          <w:p>
            <w:pPr>
              <w:spacing w:after="40" w:before="40"/>
            </w:pPr>
            <w:r>
              <w:rPr>
                <w:sz w:val="16"/>
              </w:rPr>
              <w:t>検証課題の自動提案</w:t>
            </w:r>
          </w:p>
        </w:tc>
        <w:tc>
          <w:tcPr>
            <w:tcW w:type="dxa" w:w="3005"/>
            <w:vAlign w:val="center"/>
          </w:tcPr>
          <w:p>
            <w:pPr>
              <w:spacing w:after="40" w:before="40"/>
            </w:pPr>
            <w:r>
              <w:rPr>
                <w:sz w:val="16"/>
              </w:rPr>
              <w:t>単一症例版は画面から外し未実装と表示</w:t>
            </w:r>
          </w:p>
        </w:tc>
        <w:tc>
          <w:tcPr>
            <w:tcW w:type="dxa" w:w="4649"/>
            <w:vAlign w:val="center"/>
          </w:tcPr>
          <w:p>
            <w:pPr>
              <w:spacing w:after="40" w:before="40"/>
            </w:pPr>
            <w:r>
              <w:rPr>
                <w:sz w:val="16"/>
              </w:rPr>
              <w:t>汎用的な課題生成や科学的解析を行ったわけではない</w:t>
            </w:r>
          </w:p>
        </w:tc>
      </w:tr>
      <w:tr>
        <w:trPr>
          <w:cantSplit/>
        </w:trPr>
        <w:tc>
          <w:tcPr>
            <w:tcW w:type="dxa" w:w="1928"/>
            <w:vAlign w:val="center"/>
          </w:tcPr>
          <w:p>
            <w:pPr>
              <w:spacing w:after="40" w:before="40"/>
            </w:pPr>
            <w:r>
              <w:rPr>
                <w:sz w:val="16"/>
              </w:rPr>
              <w:t>画面・CSV</w:t>
            </w:r>
          </w:p>
        </w:tc>
        <w:tc>
          <w:tcPr>
            <w:tcW w:type="dxa" w:w="3005"/>
            <w:vAlign w:val="center"/>
          </w:tcPr>
          <w:p>
            <w:pPr>
              <w:spacing w:after="40" w:before="40"/>
            </w:pPr>
            <w:r>
              <w:rPr>
                <w:sz w:val="16"/>
              </w:rPr>
              <w:t>版表示、平易な説明、50件CSV専用ボタン</w:t>
            </w:r>
          </w:p>
        </w:tc>
        <w:tc>
          <w:tcPr>
            <w:tcW w:type="dxa" w:w="4649"/>
            <w:vAlign w:val="center"/>
          </w:tcPr>
          <w:p>
            <w:pPr>
              <w:spacing w:after="40" w:before="40"/>
            </w:pPr>
            <w:r>
              <w:rPr>
                <w:sz w:val="16"/>
              </w:rPr>
              <w:t>CSVは上位50件のみ。5,892件全順位ではない</w:t>
            </w:r>
          </w:p>
        </w:tc>
      </w:tr>
    </w:tbl>
    <w:p>
      <w:pPr>
        <w:spacing w:after="0"/>
      </w:pPr>
    </w:p>
    <w:p>
      <w:pPr>
        <w:pStyle w:val="Heading1"/>
      </w:pPr>
      <w:r>
        <w:t>3. 「未接続」「未評価」は何を意味するか</w:t>
      </w:r>
    </w:p>
    <w:p>
      <w:r>
        <w:t>未接続＝同じ疾患・同じマウスを対象にしたSPARQL+LLM検索結果や外部出典を、この画面で取得・照合する仕組みがまだ接続されていない状態です。</w:t>
      </w:r>
    </w:p>
    <w:p>
      <w:r>
        <w:t>未評価＝研究者が候補固有の文献・アレル・表現型に基づき、疾患モデルとしての妥当性を判定していない状態です。いずれも「検索で見つからない」「病態を再現しない」「論文が存在しない」ことを意味しません。</w:t>
      </w:r>
    </w:p>
    <w:p>
      <w:r/>
    </w:p>
    <w:p>
      <w:pPr>
        <w:pStyle w:val="Heading1"/>
      </w:pPr>
      <w:r>
        <w:t>4. 11タブの見方</w:t>
      </w:r>
    </w:p>
    <w:tbl>
      <w:tblPr>
        <w:tblStyle w:val="LightShading-Accent1"/>
        <w:tblW w:type="auto" w:w="0"/>
        <w:jc w:val="center"/>
        <w:tblLayout w:type="fixed"/>
        <w:tblLook w:firstColumn="1" w:firstRow="1" w:lastColumn="0" w:lastRow="0" w:noHBand="0" w:noVBand="1" w:val="04A0"/>
      </w:tblPr>
      <w:tblGrid>
        <w:gridCol w:w="4933"/>
        <w:gridCol w:w="4933"/>
      </w:tblGrid>
      <w:tr>
        <w:trPr>
          <w:cantSplit/>
        </w:trPr>
        <w:tc>
          <w:tcPr>
            <w:tcW w:type="dxa" w:w="2268"/>
            <w:vAlign w:val="center"/>
          </w:tcPr>
          <w:p>
            <w:pPr>
              <w:spacing w:after="40" w:before="40"/>
            </w:pPr>
            <w:r>
              <w:rPr>
                <w:b/>
                <w:sz w:val="18"/>
              </w:rPr>
              <w:t>タブ</w:t>
            </w:r>
          </w:p>
        </w:tc>
        <w:tc>
          <w:tcPr>
            <w:tcW w:type="dxa" w:w="7313"/>
            <w:vAlign w:val="center"/>
          </w:tcPr>
          <w:p>
            <w:pPr>
              <w:spacing w:after="40" w:before="40"/>
            </w:pPr>
            <w:r>
              <w:rPr>
                <w:b/>
                <w:sz w:val="18"/>
              </w:rPr>
              <w:t>現行v1.0.2の意味・状態</w:t>
            </w:r>
          </w:p>
        </w:tc>
      </w:tr>
      <w:tr>
        <w:trPr>
          <w:cantSplit/>
        </w:trPr>
        <w:tc>
          <w:tcPr>
            <w:tcW w:type="dxa" w:w="2268"/>
            <w:vAlign w:val="center"/>
          </w:tcPr>
          <w:p>
            <w:pPr>
              <w:spacing w:after="40" w:before="40"/>
            </w:pPr>
            <w:r>
              <w:rPr>
                <w:sz w:val="18"/>
              </w:rPr>
              <w:t>要約</w:t>
            </w:r>
          </w:p>
        </w:tc>
        <w:tc>
          <w:tcPr>
            <w:tcW w:type="dxa" w:w="7313"/>
            <w:vAlign w:val="center"/>
          </w:tcPr>
          <w:p>
            <w:pPr>
              <w:spacing w:after="40" w:before="40"/>
            </w:pPr>
            <w:r>
              <w:rPr>
                <w:sz w:val="18"/>
              </w:rPr>
              <w:t>疾患関連遺伝子・候補MouseのGO件数と一致数。KGE順位の原因ではない</w:t>
            </w:r>
          </w:p>
        </w:tc>
      </w:tr>
      <w:tr>
        <w:trPr>
          <w:cantSplit/>
        </w:trPr>
        <w:tc>
          <w:tcPr>
            <w:tcW w:type="dxa" w:w="2268"/>
            <w:vAlign w:val="center"/>
          </w:tcPr>
          <w:p>
            <w:pPr>
              <w:spacing w:after="40" w:before="40"/>
            </w:pPr>
            <w:r>
              <w:rPr>
                <w:sz w:val="18"/>
              </w:rPr>
              <w:t>元トリプル</w:t>
            </w:r>
          </w:p>
        </w:tc>
        <w:tc>
          <w:tcPr>
            <w:tcW w:type="dxa" w:w="7313"/>
            <w:vAlign w:val="center"/>
          </w:tcPr>
          <w:p>
            <w:pPr>
              <w:spacing w:after="40" w:before="40"/>
            </w:pPr>
            <w:r>
              <w:rPr>
                <w:sz w:val="18"/>
              </w:rPr>
              <w:t>Frozen Trainから読んだ、候補Mouse側・関連付け・疾患側の学習グラフの辺</w:t>
            </w:r>
          </w:p>
        </w:tc>
      </w:tr>
      <w:tr>
        <w:trPr>
          <w:cantSplit/>
        </w:trPr>
        <w:tc>
          <w:tcPr>
            <w:tcW w:type="dxa" w:w="2268"/>
            <w:vAlign w:val="center"/>
          </w:tcPr>
          <w:p>
            <w:pPr>
              <w:spacing w:after="40" w:before="40"/>
            </w:pPr>
            <w:r>
              <w:rPr>
                <w:sz w:val="18"/>
              </w:rPr>
              <w:t>構造経路</w:t>
            </w:r>
          </w:p>
        </w:tc>
        <w:tc>
          <w:tcPr>
            <w:tcW w:type="dxa" w:w="7313"/>
            <w:vAlign w:val="center"/>
          </w:tcPr>
          <w:p>
            <w:pPr>
              <w:spacing w:after="40" w:before="40"/>
            </w:pPr>
            <w:r>
              <w:rPr>
                <w:sz w:val="18"/>
              </w:rPr>
              <w:t>グラフ上に存在する接続経路。KGEが実際にその経路を使った証拠ではない</w:t>
            </w:r>
          </w:p>
        </w:tc>
      </w:tr>
      <w:tr>
        <w:trPr>
          <w:cantSplit/>
        </w:trPr>
        <w:tc>
          <w:tcPr>
            <w:tcW w:type="dxa" w:w="2268"/>
            <w:vAlign w:val="center"/>
          </w:tcPr>
          <w:p>
            <w:pPr>
              <w:spacing w:after="40" w:before="40"/>
            </w:pPr>
            <w:r>
              <w:rPr>
                <w:sz w:val="18"/>
              </w:rPr>
              <w:t>GO:疾患関連共有</w:t>
            </w:r>
          </w:p>
        </w:tc>
        <w:tc>
          <w:tcPr>
            <w:tcW w:type="dxa" w:w="7313"/>
            <w:vAlign w:val="center"/>
          </w:tcPr>
          <w:p>
            <w:pPr>
              <w:spacing w:after="40" w:before="40"/>
            </w:pPr>
            <w:r>
              <w:rPr>
                <w:sz w:val="18"/>
              </w:rPr>
              <w:t>疾患関連遺伝子と候補Mouseで、GO IDと関係種別が一致する項目</w:t>
            </w:r>
          </w:p>
        </w:tc>
      </w:tr>
      <w:tr>
        <w:trPr>
          <w:cantSplit/>
        </w:trPr>
        <w:tc>
          <w:tcPr>
            <w:tcW w:type="dxa" w:w="2268"/>
            <w:vAlign w:val="center"/>
          </w:tcPr>
          <w:p>
            <w:pPr>
              <w:spacing w:after="40" w:before="40"/>
            </w:pPr>
            <w:r>
              <w:rPr>
                <w:sz w:val="18"/>
              </w:rPr>
              <w:t>GO:Mouse全注釈</w:t>
            </w:r>
          </w:p>
        </w:tc>
        <w:tc>
          <w:tcPr>
            <w:tcW w:type="dxa" w:w="7313"/>
            <w:vAlign w:val="center"/>
          </w:tcPr>
          <w:p>
            <w:pPr>
              <w:spacing w:after="40" w:before="40"/>
            </w:pPr>
            <w:r>
              <w:rPr>
                <w:sz w:val="18"/>
              </w:rPr>
              <w:t>固定GO集計表に含まれる候補Mouseの注釈一覧。疾患固有の実験結果とは限らない</w:t>
            </w:r>
          </w:p>
        </w:tc>
      </w:tr>
      <w:tr>
        <w:trPr>
          <w:cantSplit/>
        </w:trPr>
        <w:tc>
          <w:tcPr>
            <w:tcW w:type="dxa" w:w="2268"/>
            <w:vAlign w:val="center"/>
          </w:tcPr>
          <w:p>
            <w:pPr>
              <w:spacing w:after="40" w:before="40"/>
            </w:pPr>
            <w:r>
              <w:rPr>
                <w:sz w:val="18"/>
              </w:rPr>
              <w:t>既存SPARQL+LLM</w:t>
            </w:r>
          </w:p>
        </w:tc>
        <w:tc>
          <w:tcPr>
            <w:tcW w:type="dxa" w:w="7313"/>
            <w:vAlign w:val="center"/>
          </w:tcPr>
          <w:p>
            <w:pPr>
              <w:spacing w:after="40" w:before="40"/>
            </w:pPr>
            <w:r>
              <w:rPr>
                <w:sz w:val="18"/>
              </w:rPr>
              <w:t>同一疾患・マウスの検索結果照合は【未実装・未接続】。固定T2D7ファイルは読込まない</w:t>
            </w:r>
          </w:p>
        </w:tc>
      </w:tr>
      <w:tr>
        <w:trPr>
          <w:cantSplit/>
        </w:trPr>
        <w:tc>
          <w:tcPr>
            <w:tcW w:type="dxa" w:w="2268"/>
            <w:vAlign w:val="center"/>
          </w:tcPr>
          <w:p>
            <w:pPr>
              <w:spacing w:after="40" w:before="40"/>
            </w:pPr>
            <w:r>
              <w:rPr>
                <w:sz w:val="18"/>
              </w:rPr>
              <w:t>系統・アレル</w:t>
            </w:r>
          </w:p>
        </w:tc>
        <w:tc>
          <w:tcPr>
            <w:tcW w:type="dxa" w:w="7313"/>
            <w:vAlign w:val="center"/>
          </w:tcPr>
          <w:p>
            <w:pPr>
              <w:spacing w:after="40" w:before="40"/>
            </w:pPr>
            <w:r>
              <w:rPr>
                <w:sz w:val="18"/>
              </w:rPr>
              <w:t>候補固有の外部カタログ・アレル情報は【未接続・未評価】</w:t>
            </w:r>
          </w:p>
        </w:tc>
      </w:tr>
      <w:tr>
        <w:trPr>
          <w:cantSplit/>
        </w:trPr>
        <w:tc>
          <w:tcPr>
            <w:tcW w:type="dxa" w:w="2268"/>
            <w:vAlign w:val="center"/>
          </w:tcPr>
          <w:p>
            <w:pPr>
              <w:spacing w:after="40" w:before="40"/>
            </w:pPr>
            <w:r>
              <w:rPr>
                <w:sz w:val="18"/>
              </w:rPr>
              <w:t>原著</w:t>
            </w:r>
          </w:p>
        </w:tc>
        <w:tc>
          <w:tcPr>
            <w:tcW w:type="dxa" w:w="7313"/>
            <w:vAlign w:val="center"/>
          </w:tcPr>
          <w:p>
            <w:pPr>
              <w:spacing w:after="40" w:before="40"/>
            </w:pPr>
            <w:r>
              <w:rPr>
                <w:sz w:val="18"/>
              </w:rPr>
              <w:t>候補固有の実験的原著照合は【未接続・未評価】</w:t>
            </w:r>
          </w:p>
        </w:tc>
      </w:tr>
      <w:tr>
        <w:trPr>
          <w:cantSplit/>
        </w:trPr>
        <w:tc>
          <w:tcPr>
            <w:tcW w:type="dxa" w:w="2268"/>
            <w:vAlign w:val="center"/>
          </w:tcPr>
          <w:p>
            <w:pPr>
              <w:spacing w:after="40" w:before="40"/>
            </w:pPr>
            <w:r>
              <w:rPr>
                <w:sz w:val="18"/>
              </w:rPr>
              <w:t>評価</w:t>
            </w:r>
          </w:p>
        </w:tc>
        <w:tc>
          <w:tcPr>
            <w:tcW w:type="dxa" w:w="7313"/>
            <w:vAlign w:val="center"/>
          </w:tcPr>
          <w:p>
            <w:pPr>
              <w:spacing w:after="40" w:before="40"/>
            </w:pPr>
            <w:r>
              <w:rPr>
                <w:sz w:val="18"/>
              </w:rPr>
              <w:t>正式F1–F4/HMLはNot assessed。肯定的な暫定提案は行わない</w:t>
            </w:r>
          </w:p>
        </w:tc>
      </w:tr>
      <w:tr>
        <w:trPr>
          <w:cantSplit/>
        </w:trPr>
        <w:tc>
          <w:tcPr>
            <w:tcW w:type="dxa" w:w="2268"/>
            <w:vAlign w:val="center"/>
          </w:tcPr>
          <w:p>
            <w:pPr>
              <w:spacing w:after="40" w:before="40"/>
            </w:pPr>
            <w:r>
              <w:rPr>
                <w:sz w:val="18"/>
              </w:rPr>
              <w:t>Provenance</w:t>
            </w:r>
          </w:p>
        </w:tc>
        <w:tc>
          <w:tcPr>
            <w:tcW w:type="dxa" w:w="7313"/>
            <w:vAlign w:val="center"/>
          </w:tcPr>
          <w:p>
            <w:pPr>
              <w:spacing w:after="40" w:before="40"/>
            </w:pPr>
            <w:r>
              <w:rPr>
                <w:sz w:val="18"/>
              </w:rPr>
              <w:t>選択候補の技術的なデータ出所・SHA検証の記録。科学的正しさの保証ではない</w:t>
            </w:r>
          </w:p>
        </w:tc>
      </w:tr>
      <w:tr>
        <w:trPr>
          <w:cantSplit/>
        </w:trPr>
        <w:tc>
          <w:tcPr>
            <w:tcW w:type="dxa" w:w="2268"/>
            <w:vAlign w:val="center"/>
          </w:tcPr>
          <w:p>
            <w:pPr>
              <w:spacing w:after="40" w:before="40"/>
            </w:pPr>
            <w:r>
              <w:rPr>
                <w:sz w:val="18"/>
              </w:rPr>
              <w:t>LLM暫定評価</w:t>
            </w:r>
          </w:p>
        </w:tc>
        <w:tc>
          <w:tcPr>
            <w:tcW w:type="dxa" w:w="7313"/>
            <w:vAlign w:val="center"/>
          </w:tcPr>
          <w:p>
            <w:pPr>
              <w:spacing w:after="40" w:before="40"/>
            </w:pPr>
            <w:r>
              <w:rPr>
                <w:sz w:val="18"/>
              </w:rPr>
              <w:t>入力JSON、prompt、出力schema保存と外部JSON形式照合のみ。LLM API未接続</w:t>
            </w:r>
          </w:p>
        </w:tc>
      </w:tr>
    </w:tbl>
    <w:p>
      <w:pPr>
        <w:spacing w:after="0"/>
      </w:pPr>
    </w:p>
    <w:p>
      <w:pPr>
        <w:pStyle w:val="Heading1"/>
      </w:pPr>
      <w:r>
        <w:t>5. 「疾患関連遺伝子に基づくGO種類数」</w:t>
      </w:r>
    </w:p>
    <w:p>
      <w:r>
        <w:t>疾患の関連遺伝子をFrozen Trainから取り出し、その遺伝子とGO集計表の支持Geneを照合します。候補側と独立した疾患関連のGO集合を、（GO ID、GO関係種別）の組で重複除去して数えます。疾患→GOの直接注釈件数ではありません。</w:t>
      </w:r>
    </w:p>
    <w:p>
      <w:r>
        <w:t>共有GO数は、疾患関連遺伝子側と候補Mouse側の同一の（GO ID、GO関係種別）が何組あったかです。GO一致は順位決定理由・疾患モデル妥当性の証拠ではありません。</w:t>
      </w:r>
    </w:p>
    <w:p>
      <w:pPr>
        <w:pStyle w:val="Heading1"/>
      </w:pPr>
      <w:r>
        <w:t>6. GO注釈情報の出典</w:t>
      </w:r>
    </w:p>
    <w:p>
      <w:r>
        <w:t>8504は固定GO集計ファイル go_evidence_summary.tsv を利用し、その生成に関連する go_evidence_provenance.tsv と go_support_bridge.tsv の記録に依存します。固定版の整理時期は2026年8月28～29日です。取得元の全URL／取得時刻／識別子変換・除外条件／支持行照合条件は、元生成スクリプトとログの監査が未完了であり、確定した方法として記載しません。</w:t>
      </w:r>
    </w:p>
    <w:p>
      <w:r/>
    </w:p>
    <w:p>
      <w:pPr>
        <w:pStyle w:val="Heading1"/>
      </w:pPr>
      <w:r>
        <w:t>7. 「GO:疾患関連共有」の12カラム</w:t>
      </w:r>
    </w:p>
    <w:tbl>
      <w:tblPr>
        <w:tblStyle w:val="LightShading-Accent1"/>
        <w:tblW w:type="auto" w:w="0"/>
        <w:jc w:val="center"/>
        <w:tblLayout w:type="fixed"/>
        <w:tblLook w:firstColumn="1" w:firstRow="1" w:lastColumn="0" w:lastRow="0" w:noHBand="0" w:noVBand="1" w:val="04A0"/>
      </w:tblPr>
      <w:tblGrid>
        <w:gridCol w:w="4933"/>
        <w:gridCol w:w="4933"/>
      </w:tblGrid>
      <w:tr>
        <w:trPr>
          <w:cantSplit/>
        </w:trPr>
        <w:tc>
          <w:tcPr>
            <w:tcW w:type="dxa" w:w="3515"/>
            <w:vAlign w:val="center"/>
          </w:tcPr>
          <w:p>
            <w:pPr>
              <w:spacing w:after="40" w:before="40"/>
            </w:pPr>
            <w:r>
              <w:rPr>
                <w:b/>
                <w:sz w:val="18"/>
              </w:rPr>
              <w:t>列名</w:t>
            </w:r>
          </w:p>
        </w:tc>
        <w:tc>
          <w:tcPr>
            <w:tcW w:type="dxa" w:w="6066"/>
            <w:vAlign w:val="center"/>
          </w:tcPr>
          <w:p>
            <w:pPr>
              <w:spacing w:after="40" w:before="40"/>
            </w:pPr>
            <w:r>
              <w:rPr>
                <w:b/>
                <w:sz w:val="18"/>
              </w:rPr>
              <w:t>説明</w:t>
            </w:r>
          </w:p>
        </w:tc>
      </w:tr>
      <w:tr>
        <w:trPr>
          <w:cantSplit/>
        </w:trPr>
        <w:tc>
          <w:tcPr>
            <w:tcW w:type="dxa" w:w="3515"/>
            <w:vAlign w:val="center"/>
          </w:tcPr>
          <w:p>
            <w:pPr>
              <w:spacing w:after="40" w:before="40"/>
            </w:pPr>
            <w:r>
              <w:rPr>
                <w:sz w:val="18"/>
              </w:rPr>
              <w:t>aspect</w:t>
            </w:r>
          </w:p>
        </w:tc>
        <w:tc>
          <w:tcPr>
            <w:tcW w:type="dxa" w:w="6066"/>
            <w:vAlign w:val="center"/>
          </w:tcPr>
          <w:p>
            <w:pPr>
              <w:spacing w:after="40" w:before="40"/>
            </w:pPr>
            <w:r>
              <w:rPr>
                <w:sz w:val="18"/>
              </w:rPr>
              <w:t>BP：生物学的過程、MF：分子機能、CC：細胞の構成・局在</w:t>
            </w:r>
          </w:p>
        </w:tc>
      </w:tr>
      <w:tr>
        <w:trPr>
          <w:cantSplit/>
        </w:trPr>
        <w:tc>
          <w:tcPr>
            <w:tcW w:type="dxa" w:w="3515"/>
            <w:vAlign w:val="center"/>
          </w:tcPr>
          <w:p>
            <w:pPr>
              <w:spacing w:after="40" w:before="40"/>
            </w:pPr>
            <w:r>
              <w:rPr>
                <w:sz w:val="18"/>
              </w:rPr>
              <w:t>predicate_iri</w:t>
            </w:r>
          </w:p>
        </w:tc>
        <w:tc>
          <w:tcPr>
            <w:tcW w:type="dxa" w:w="6066"/>
            <w:vAlign w:val="center"/>
          </w:tcPr>
          <w:p>
            <w:pPr>
              <w:spacing w:after="40" w:before="40"/>
            </w:pPr>
            <w:r>
              <w:rPr>
                <w:sz w:val="18"/>
              </w:rPr>
              <w:t>GOとマウスを結ぶ関係種別</w:t>
            </w:r>
          </w:p>
        </w:tc>
      </w:tr>
      <w:tr>
        <w:trPr>
          <w:cantSplit/>
        </w:trPr>
        <w:tc>
          <w:tcPr>
            <w:tcW w:type="dxa" w:w="3515"/>
            <w:vAlign w:val="center"/>
          </w:tcPr>
          <w:p>
            <w:pPr>
              <w:spacing w:after="40" w:before="40"/>
            </w:pPr>
            <w:r>
              <w:rPr>
                <w:sz w:val="18"/>
              </w:rPr>
              <w:t>go_iri</w:t>
            </w:r>
          </w:p>
        </w:tc>
        <w:tc>
          <w:tcPr>
            <w:tcW w:type="dxa" w:w="6066"/>
            <w:vAlign w:val="center"/>
          </w:tcPr>
          <w:p>
            <w:pPr>
              <w:spacing w:after="40" w:before="40"/>
            </w:pPr>
            <w:r>
              <w:rPr>
                <w:sz w:val="18"/>
              </w:rPr>
              <w:t>一致したGO項目の識別子</w:t>
            </w:r>
          </w:p>
        </w:tc>
      </w:tr>
      <w:tr>
        <w:trPr>
          <w:cantSplit/>
        </w:trPr>
        <w:tc>
          <w:tcPr>
            <w:tcW w:type="dxa" w:w="3515"/>
            <w:vAlign w:val="center"/>
          </w:tcPr>
          <w:p>
            <w:pPr>
              <w:spacing w:after="40" w:before="40"/>
            </w:pPr>
            <w:r>
              <w:rPr>
                <w:sz w:val="18"/>
              </w:rPr>
              <w:t>disease_gene_ids_matched</w:t>
            </w:r>
          </w:p>
        </w:tc>
        <w:tc>
          <w:tcPr>
            <w:tcW w:type="dxa" w:w="6066"/>
            <w:vAlign w:val="center"/>
          </w:tcPr>
          <w:p>
            <w:pPr>
              <w:spacing w:after="40" w:before="40"/>
            </w:pPr>
            <w:r>
              <w:rPr>
                <w:sz w:val="18"/>
              </w:rPr>
              <w:t>そのGO支持情報と一致した疾患関連遺伝子のNCBI Gene ID</w:t>
            </w:r>
          </w:p>
        </w:tc>
      </w:tr>
      <w:tr>
        <w:trPr>
          <w:cantSplit/>
        </w:trPr>
        <w:tc>
          <w:tcPr>
            <w:tcW w:type="dxa" w:w="3515"/>
            <w:vAlign w:val="center"/>
          </w:tcPr>
          <w:p>
            <w:pPr>
              <w:spacing w:after="40" w:before="40"/>
            </w:pPr>
            <w:r>
              <w:rPr>
                <w:sz w:val="18"/>
              </w:rPr>
              <w:t>candidate_mouse_source_routes</w:t>
            </w:r>
          </w:p>
        </w:tc>
        <w:tc>
          <w:tcPr>
            <w:tcW w:type="dxa" w:w="6066"/>
            <w:vAlign w:val="center"/>
          </w:tcPr>
          <w:p>
            <w:pPr>
              <w:spacing w:after="40" w:before="40"/>
            </w:pPr>
            <w:r>
              <w:rPr>
                <w:sz w:val="18"/>
              </w:rPr>
              <w:t>候補Mouse側の注釈対応付け経路</w:t>
            </w:r>
          </w:p>
        </w:tc>
      </w:tr>
      <w:tr>
        <w:trPr>
          <w:cantSplit/>
        </w:trPr>
        <w:tc>
          <w:tcPr>
            <w:tcW w:type="dxa" w:w="3515"/>
            <w:vAlign w:val="center"/>
          </w:tcPr>
          <w:p>
            <w:pPr>
              <w:spacing w:after="40" w:before="40"/>
            </w:pPr>
            <w:r>
              <w:rPr>
                <w:sz w:val="18"/>
              </w:rPr>
              <w:t>candidate_mouse_evidence_codes</w:t>
            </w:r>
          </w:p>
        </w:tc>
        <w:tc>
          <w:tcPr>
            <w:tcW w:type="dxa" w:w="6066"/>
            <w:vAlign w:val="center"/>
          </w:tcPr>
          <w:p>
            <w:pPr>
              <w:spacing w:after="40" w:before="40"/>
            </w:pPr>
            <w:r>
              <w:rPr>
                <w:sz w:val="18"/>
              </w:rPr>
              <w:t>候補側GOの根拠コード</w:t>
            </w:r>
          </w:p>
        </w:tc>
      </w:tr>
      <w:tr>
        <w:trPr>
          <w:cantSplit/>
        </w:trPr>
        <w:tc>
          <w:tcPr>
            <w:tcW w:type="dxa" w:w="3515"/>
            <w:vAlign w:val="center"/>
          </w:tcPr>
          <w:p>
            <w:pPr>
              <w:spacing w:after="40" w:before="40"/>
            </w:pPr>
            <w:r>
              <w:rPr>
                <w:sz w:val="18"/>
              </w:rPr>
              <w:t>candidate_mouse_references</w:t>
            </w:r>
          </w:p>
        </w:tc>
        <w:tc>
          <w:tcPr>
            <w:tcW w:type="dxa" w:w="6066"/>
            <w:vAlign w:val="center"/>
          </w:tcPr>
          <w:p>
            <w:pPr>
              <w:spacing w:after="40" w:before="40"/>
            </w:pPr>
            <w:r>
              <w:rPr>
                <w:sz w:val="18"/>
              </w:rPr>
              <w:t>候補側GOの参照識別子</w:t>
            </w:r>
          </w:p>
        </w:tc>
      </w:tr>
      <w:tr>
        <w:trPr>
          <w:cantSplit/>
        </w:trPr>
        <w:tc>
          <w:tcPr>
            <w:tcW w:type="dxa" w:w="3515"/>
            <w:vAlign w:val="center"/>
          </w:tcPr>
          <w:p>
            <w:pPr>
              <w:spacing w:after="40" w:before="40"/>
            </w:pPr>
            <w:r>
              <w:rPr>
                <w:sz w:val="18"/>
              </w:rPr>
              <w:t>disease_context_source_routes</w:t>
            </w:r>
          </w:p>
        </w:tc>
        <w:tc>
          <w:tcPr>
            <w:tcW w:type="dxa" w:w="6066"/>
            <w:vAlign w:val="center"/>
          </w:tcPr>
          <w:p>
            <w:pPr>
              <w:spacing w:after="40" w:before="40"/>
            </w:pPr>
            <w:r>
              <w:rPr>
                <w:sz w:val="18"/>
              </w:rPr>
              <w:t>疾患関連Gene側のGO対応付け経路</w:t>
            </w:r>
          </w:p>
        </w:tc>
      </w:tr>
      <w:tr>
        <w:trPr>
          <w:cantSplit/>
        </w:trPr>
        <w:tc>
          <w:tcPr>
            <w:tcW w:type="dxa" w:w="3515"/>
            <w:vAlign w:val="center"/>
          </w:tcPr>
          <w:p>
            <w:pPr>
              <w:spacing w:after="40" w:before="40"/>
            </w:pPr>
            <w:r>
              <w:rPr>
                <w:sz w:val="18"/>
              </w:rPr>
              <w:t>disease_context_evidence_codes</w:t>
            </w:r>
          </w:p>
        </w:tc>
        <w:tc>
          <w:tcPr>
            <w:tcW w:type="dxa" w:w="6066"/>
            <w:vAlign w:val="center"/>
          </w:tcPr>
          <w:p>
            <w:pPr>
              <w:spacing w:after="40" w:before="40"/>
            </w:pPr>
            <w:r>
              <w:rPr>
                <w:sz w:val="18"/>
              </w:rPr>
              <w:t>疾患関連Gene側GOの根拠コード</w:t>
            </w:r>
          </w:p>
        </w:tc>
      </w:tr>
      <w:tr>
        <w:trPr>
          <w:cantSplit/>
        </w:trPr>
        <w:tc>
          <w:tcPr>
            <w:tcW w:type="dxa" w:w="3515"/>
            <w:vAlign w:val="center"/>
          </w:tcPr>
          <w:p>
            <w:pPr>
              <w:spacing w:after="40" w:before="40"/>
            </w:pPr>
            <w:r>
              <w:rPr>
                <w:sz w:val="18"/>
              </w:rPr>
              <w:t>disease_context_references</w:t>
            </w:r>
          </w:p>
        </w:tc>
        <w:tc>
          <w:tcPr>
            <w:tcW w:type="dxa" w:w="6066"/>
            <w:vAlign w:val="center"/>
          </w:tcPr>
          <w:p>
            <w:pPr>
              <w:spacing w:after="40" w:before="40"/>
            </w:pPr>
            <w:r>
              <w:rPr>
                <w:sz w:val="18"/>
              </w:rPr>
              <w:t>疾患関連Gene側の参照識別子</w:t>
            </w:r>
          </w:p>
        </w:tc>
      </w:tr>
      <w:tr>
        <w:trPr>
          <w:cantSplit/>
        </w:trPr>
        <w:tc>
          <w:tcPr>
            <w:tcW w:type="dxa" w:w="3515"/>
            <w:vAlign w:val="center"/>
          </w:tcPr>
          <w:p>
            <w:pPr>
              <w:spacing w:after="40" w:before="40"/>
            </w:pPr>
            <w:r>
              <w:rPr>
                <w:sz w:val="18"/>
              </w:rPr>
              <w:t>mouse_count_for_go_term_in_summary</w:t>
            </w:r>
          </w:p>
        </w:tc>
        <w:tc>
          <w:tcPr>
            <w:tcW w:type="dxa" w:w="6066"/>
            <w:vAlign w:val="center"/>
          </w:tcPr>
          <w:p>
            <w:pPr>
              <w:spacing w:after="40" w:before="40"/>
            </w:pPr>
            <w:r>
              <w:rPr>
                <w:sz w:val="18"/>
              </w:rPr>
              <w:t>固定集計表で当該GOを持つ異なるマウスの数</w:t>
            </w:r>
          </w:p>
        </w:tc>
      </w:tr>
      <w:tr>
        <w:trPr>
          <w:cantSplit/>
        </w:trPr>
        <w:tc>
          <w:tcPr>
            <w:tcW w:type="dxa" w:w="3515"/>
            <w:vAlign w:val="center"/>
          </w:tcPr>
          <w:p>
            <w:pPr>
              <w:spacing w:after="40" w:before="40"/>
            </w:pPr>
            <w:r>
              <w:rPr>
                <w:sz w:val="18"/>
              </w:rPr>
              <w:t>interpretation_boundary</w:t>
            </w:r>
          </w:p>
        </w:tc>
        <w:tc>
          <w:tcPr>
            <w:tcW w:type="dxa" w:w="6066"/>
            <w:vAlign w:val="center"/>
          </w:tcPr>
          <w:p>
            <w:pPr>
              <w:spacing w:after="40" w:before="40"/>
            </w:pPr>
            <w:r>
              <w:rPr>
                <w:sz w:val="18"/>
              </w:rPr>
              <w:t>一致をどこまで解釈できるかの制限</w:t>
            </w:r>
          </w:p>
        </w:tc>
      </w:tr>
    </w:tbl>
    <w:p>
      <w:pPr>
        <w:spacing w:after="0"/>
      </w:pPr>
    </w:p>
    <w:p>
      <w:r>
        <w:t>候補側と疾患関連Gene側は別の情報です。同じGO項目でも証拠の独立性や病態機序の一致は保証しません。</w:t>
      </w:r>
    </w:p>
    <w:p>
      <w:pPr>
        <w:pStyle w:val="Heading1"/>
      </w:pPr>
      <w:r>
        <w:t>8. 「GO:Mouse全注釈」の15カラム</w:t>
      </w:r>
    </w:p>
    <w:tbl>
      <w:tblPr>
        <w:tblStyle w:val="LightShading-Accent1"/>
        <w:tblW w:type="auto" w:w="0"/>
        <w:jc w:val="center"/>
        <w:tblLayout w:type="fixed"/>
        <w:tblLook w:firstColumn="1" w:firstRow="1" w:lastColumn="0" w:lastRow="0" w:noHBand="0" w:noVBand="1" w:val="04A0"/>
      </w:tblPr>
      <w:tblGrid>
        <w:gridCol w:w="4933"/>
        <w:gridCol w:w="4933"/>
      </w:tblGrid>
      <w:tr>
        <w:trPr>
          <w:cantSplit/>
        </w:trPr>
        <w:tc>
          <w:tcPr>
            <w:tcW w:type="dxa" w:w="3515"/>
            <w:vAlign w:val="center"/>
          </w:tcPr>
          <w:p>
            <w:pPr>
              <w:spacing w:after="40" w:before="40"/>
            </w:pPr>
            <w:r>
              <w:rPr>
                <w:b/>
                <w:sz w:val="18"/>
              </w:rPr>
              <w:t>列名</w:t>
            </w:r>
          </w:p>
        </w:tc>
        <w:tc>
          <w:tcPr>
            <w:tcW w:type="dxa" w:w="6066"/>
            <w:vAlign w:val="center"/>
          </w:tcPr>
          <w:p>
            <w:pPr>
              <w:spacing w:after="40" w:before="40"/>
            </w:pPr>
            <w:r>
              <w:rPr>
                <w:b/>
                <w:sz w:val="18"/>
              </w:rPr>
              <w:t>説明</w:t>
            </w:r>
          </w:p>
        </w:tc>
      </w:tr>
      <w:tr>
        <w:trPr>
          <w:cantSplit/>
        </w:trPr>
        <w:tc>
          <w:tcPr>
            <w:tcW w:type="dxa" w:w="3515"/>
            <w:vAlign w:val="center"/>
          </w:tcPr>
          <w:p>
            <w:pPr>
              <w:spacing w:after="40" w:before="40"/>
            </w:pPr>
            <w:r>
              <w:rPr>
                <w:sz w:val="18"/>
              </w:rPr>
              <w:t>mouse_iri</w:t>
            </w:r>
          </w:p>
        </w:tc>
        <w:tc>
          <w:tcPr>
            <w:tcW w:type="dxa" w:w="6066"/>
            <w:vAlign w:val="center"/>
          </w:tcPr>
          <w:p>
            <w:pPr>
              <w:spacing w:after="40" w:before="40"/>
            </w:pPr>
            <w:r>
              <w:rPr>
                <w:sz w:val="18"/>
              </w:rPr>
              <w:t>候補MouseのIRI識別子</w:t>
            </w:r>
          </w:p>
        </w:tc>
      </w:tr>
      <w:tr>
        <w:trPr>
          <w:cantSplit/>
        </w:trPr>
        <w:tc>
          <w:tcPr>
            <w:tcW w:type="dxa" w:w="3515"/>
            <w:vAlign w:val="center"/>
          </w:tcPr>
          <w:p>
            <w:pPr>
              <w:spacing w:after="40" w:before="40"/>
            </w:pPr>
            <w:r>
              <w:rPr>
                <w:sz w:val="18"/>
              </w:rPr>
              <w:t>aspect</w:t>
            </w:r>
          </w:p>
        </w:tc>
        <w:tc>
          <w:tcPr>
            <w:tcW w:type="dxa" w:w="6066"/>
            <w:vAlign w:val="center"/>
          </w:tcPr>
          <w:p>
            <w:pPr>
              <w:spacing w:after="40" w:before="40"/>
            </w:pPr>
            <w:r>
              <w:rPr>
                <w:sz w:val="18"/>
              </w:rPr>
              <w:t>BP／MF／CC</w:t>
            </w:r>
          </w:p>
        </w:tc>
      </w:tr>
      <w:tr>
        <w:trPr>
          <w:cantSplit/>
        </w:trPr>
        <w:tc>
          <w:tcPr>
            <w:tcW w:type="dxa" w:w="3515"/>
            <w:vAlign w:val="center"/>
          </w:tcPr>
          <w:p>
            <w:pPr>
              <w:spacing w:after="40" w:before="40"/>
            </w:pPr>
            <w:r>
              <w:rPr>
                <w:sz w:val="18"/>
              </w:rPr>
              <w:t>predicate_iri</w:t>
            </w:r>
          </w:p>
        </w:tc>
        <w:tc>
          <w:tcPr>
            <w:tcW w:type="dxa" w:w="6066"/>
            <w:vAlign w:val="center"/>
          </w:tcPr>
          <w:p>
            <w:pPr>
              <w:spacing w:after="40" w:before="40"/>
            </w:pPr>
            <w:r>
              <w:rPr>
                <w:sz w:val="18"/>
              </w:rPr>
              <w:t>Mouse–GOの関係種別</w:t>
            </w:r>
          </w:p>
        </w:tc>
      </w:tr>
      <w:tr>
        <w:trPr>
          <w:cantSplit/>
        </w:trPr>
        <w:tc>
          <w:tcPr>
            <w:tcW w:type="dxa" w:w="3515"/>
            <w:vAlign w:val="center"/>
          </w:tcPr>
          <w:p>
            <w:pPr>
              <w:spacing w:after="40" w:before="40"/>
            </w:pPr>
            <w:r>
              <w:rPr>
                <w:sz w:val="18"/>
              </w:rPr>
              <w:t>go_iri</w:t>
            </w:r>
          </w:p>
        </w:tc>
        <w:tc>
          <w:tcPr>
            <w:tcW w:type="dxa" w:w="6066"/>
            <w:vAlign w:val="center"/>
          </w:tcPr>
          <w:p>
            <w:pPr>
              <w:spacing w:after="40" w:before="40"/>
            </w:pPr>
            <w:r>
              <w:rPr>
                <w:sz w:val="18"/>
              </w:rPr>
              <w:t>GO項目のIRI識別子</w:t>
            </w:r>
          </w:p>
        </w:tc>
      </w:tr>
      <w:tr>
        <w:trPr>
          <w:cantSplit/>
        </w:trPr>
        <w:tc>
          <w:tcPr>
            <w:tcW w:type="dxa" w:w="3515"/>
            <w:vAlign w:val="center"/>
          </w:tcPr>
          <w:p>
            <w:pPr>
              <w:spacing w:after="40" w:before="40"/>
            </w:pPr>
            <w:r>
              <w:rPr>
                <w:sz w:val="18"/>
              </w:rPr>
              <w:t>source_routes</w:t>
            </w:r>
          </w:p>
        </w:tc>
        <w:tc>
          <w:tcPr>
            <w:tcW w:type="dxa" w:w="6066"/>
            <w:vAlign w:val="center"/>
          </w:tcPr>
          <w:p>
            <w:pPr>
              <w:spacing w:after="40" w:before="40"/>
            </w:pPr>
            <w:r>
              <w:rPr>
                <w:sz w:val="18"/>
              </w:rPr>
              <w:t>元データからの対応付け・生成経路</w:t>
            </w:r>
          </w:p>
        </w:tc>
      </w:tr>
      <w:tr>
        <w:trPr>
          <w:cantSplit/>
        </w:trPr>
        <w:tc>
          <w:tcPr>
            <w:tcW w:type="dxa" w:w="3515"/>
            <w:vAlign w:val="center"/>
          </w:tcPr>
          <w:p>
            <w:pPr>
              <w:spacing w:after="40" w:before="40"/>
            </w:pPr>
            <w:r>
              <w:rPr>
                <w:sz w:val="18"/>
              </w:rPr>
              <w:t>ncbigene_iris</w:t>
            </w:r>
          </w:p>
        </w:tc>
        <w:tc>
          <w:tcPr>
            <w:tcW w:type="dxa" w:w="6066"/>
            <w:vAlign w:val="center"/>
          </w:tcPr>
          <w:p>
            <w:pPr>
              <w:spacing w:after="40" w:before="40"/>
            </w:pPr>
            <w:r>
              <w:rPr>
                <w:sz w:val="18"/>
              </w:rPr>
              <w:t>関連付けられたNCBI Gene識別子</w:t>
            </w:r>
          </w:p>
        </w:tc>
      </w:tr>
      <w:tr>
        <w:trPr>
          <w:cantSplit/>
        </w:trPr>
        <w:tc>
          <w:tcPr>
            <w:tcW w:type="dxa" w:w="3515"/>
            <w:vAlign w:val="center"/>
          </w:tcPr>
          <w:p>
            <w:pPr>
              <w:spacing w:after="40" w:before="40"/>
            </w:pPr>
            <w:r>
              <w:rPr>
                <w:sz w:val="18"/>
              </w:rPr>
              <w:t>evidence_codes</w:t>
            </w:r>
          </w:p>
        </w:tc>
        <w:tc>
          <w:tcPr>
            <w:tcW w:type="dxa" w:w="6066"/>
            <w:vAlign w:val="center"/>
          </w:tcPr>
          <w:p>
            <w:pPr>
              <w:spacing w:after="40" w:before="40"/>
            </w:pPr>
            <w:r>
              <w:rPr>
                <w:sz w:val="18"/>
              </w:rPr>
              <w:t>GO根拠コード</w:t>
            </w:r>
          </w:p>
        </w:tc>
      </w:tr>
      <w:tr>
        <w:trPr>
          <w:cantSplit/>
        </w:trPr>
        <w:tc>
          <w:tcPr>
            <w:tcW w:type="dxa" w:w="3515"/>
            <w:vAlign w:val="center"/>
          </w:tcPr>
          <w:p>
            <w:pPr>
              <w:spacing w:after="40" w:before="40"/>
            </w:pPr>
            <w:r>
              <w:rPr>
                <w:sz w:val="18"/>
              </w:rPr>
              <w:t>references</w:t>
            </w:r>
          </w:p>
        </w:tc>
        <w:tc>
          <w:tcPr>
            <w:tcW w:type="dxa" w:w="6066"/>
            <w:vAlign w:val="center"/>
          </w:tcPr>
          <w:p>
            <w:pPr>
              <w:spacing w:after="40" w:before="40"/>
            </w:pPr>
            <w:r>
              <w:rPr>
                <w:sz w:val="18"/>
              </w:rPr>
              <w:t>注釈の参照識別子</w:t>
            </w:r>
          </w:p>
        </w:tc>
      </w:tr>
      <w:tr>
        <w:trPr>
          <w:cantSplit/>
        </w:trPr>
        <w:tc>
          <w:tcPr>
            <w:tcW w:type="dxa" w:w="3515"/>
            <w:vAlign w:val="center"/>
          </w:tcPr>
          <w:p>
            <w:pPr>
              <w:spacing w:after="40" w:before="40"/>
            </w:pPr>
            <w:r>
              <w:rPr>
                <w:sz w:val="18"/>
              </w:rPr>
              <w:t>assigned_by</w:t>
            </w:r>
          </w:p>
        </w:tc>
        <w:tc>
          <w:tcPr>
            <w:tcW w:type="dxa" w:w="6066"/>
            <w:vAlign w:val="center"/>
          </w:tcPr>
          <w:p>
            <w:pPr>
              <w:spacing w:after="40" w:before="40"/>
            </w:pPr>
            <w:r>
              <w:rPr>
                <w:sz w:val="18"/>
              </w:rPr>
              <w:t>注釈を割り当てたデータ提供者</w:t>
            </w:r>
          </w:p>
        </w:tc>
      </w:tr>
      <w:tr>
        <w:trPr>
          <w:cantSplit/>
        </w:trPr>
        <w:tc>
          <w:tcPr>
            <w:tcW w:type="dxa" w:w="3515"/>
            <w:vAlign w:val="center"/>
          </w:tcPr>
          <w:p>
            <w:pPr>
              <w:spacing w:after="40" w:before="40"/>
            </w:pPr>
            <w:r>
              <w:rPr>
                <w:sz w:val="18"/>
              </w:rPr>
              <w:t>gaf_relations</w:t>
            </w:r>
          </w:p>
        </w:tc>
        <w:tc>
          <w:tcPr>
            <w:tcW w:type="dxa" w:w="6066"/>
            <w:vAlign w:val="center"/>
          </w:tcPr>
          <w:p>
            <w:pPr>
              <w:spacing w:after="40" w:before="40"/>
            </w:pPr>
            <w:r>
              <w:rPr>
                <w:sz w:val="18"/>
              </w:rPr>
              <w:t>GAFに記録された関係情報</w:t>
            </w:r>
          </w:p>
        </w:tc>
      </w:tr>
      <w:tr>
        <w:trPr>
          <w:cantSplit/>
        </w:trPr>
        <w:tc>
          <w:tcPr>
            <w:tcW w:type="dxa" w:w="3515"/>
            <w:vAlign w:val="center"/>
          </w:tcPr>
          <w:p>
            <w:pPr>
              <w:spacing w:after="40" w:before="40"/>
            </w:pPr>
            <w:r>
              <w:rPr>
                <w:sz w:val="18"/>
              </w:rPr>
              <w:t>matched_support_rows</w:t>
            </w:r>
          </w:p>
        </w:tc>
        <w:tc>
          <w:tcPr>
            <w:tcW w:type="dxa" w:w="6066"/>
            <w:vAlign w:val="center"/>
          </w:tcPr>
          <w:p>
            <w:pPr>
              <w:spacing w:after="40" w:before="40"/>
            </w:pPr>
            <w:r>
              <w:rPr>
                <w:sz w:val="18"/>
              </w:rPr>
              <w:t>生成処理で照合済みとして集計された支持行の数（判定条件は原処理監査待ち）</w:t>
            </w:r>
          </w:p>
        </w:tc>
      </w:tr>
      <w:tr>
        <w:trPr>
          <w:cantSplit/>
        </w:trPr>
        <w:tc>
          <w:tcPr>
            <w:tcW w:type="dxa" w:w="3515"/>
            <w:vAlign w:val="center"/>
          </w:tcPr>
          <w:p>
            <w:pPr>
              <w:spacing w:after="40" w:before="40"/>
            </w:pPr>
            <w:r>
              <w:rPr>
                <w:sz w:val="18"/>
              </w:rPr>
              <w:t>unmatched_support_rows</w:t>
            </w:r>
          </w:p>
        </w:tc>
        <w:tc>
          <w:tcPr>
            <w:tcW w:type="dxa" w:w="6066"/>
            <w:vAlign w:val="center"/>
          </w:tcPr>
          <w:p>
            <w:pPr>
              <w:spacing w:after="40" w:before="40"/>
            </w:pPr>
            <w:r>
              <w:rPr>
                <w:sz w:val="18"/>
              </w:rPr>
              <w:t>生成処理で未照合として集計された支持行の数（判定条件は原処理監査待ち）</w:t>
            </w:r>
          </w:p>
        </w:tc>
      </w:tr>
      <w:tr>
        <w:trPr>
          <w:cantSplit/>
        </w:trPr>
        <w:tc>
          <w:tcPr>
            <w:tcW w:type="dxa" w:w="3515"/>
            <w:vAlign w:val="center"/>
          </w:tcPr>
          <w:p>
            <w:pPr>
              <w:spacing w:after="40" w:before="40"/>
            </w:pPr>
            <w:r>
              <w:rPr>
                <w:sz w:val="18"/>
              </w:rPr>
              <w:t>mouse_count_for_go_term_in_summary</w:t>
            </w:r>
          </w:p>
        </w:tc>
        <w:tc>
          <w:tcPr>
            <w:tcW w:type="dxa" w:w="6066"/>
            <w:vAlign w:val="center"/>
          </w:tcPr>
          <w:p>
            <w:pPr>
              <w:spacing w:after="40" w:before="40"/>
            </w:pPr>
            <w:r>
              <w:rPr>
                <w:sz w:val="18"/>
              </w:rPr>
              <w:t>固定GO集計表でこのGOを持つマウス数</w:t>
            </w:r>
          </w:p>
        </w:tc>
      </w:tr>
      <w:tr>
        <w:trPr>
          <w:cantSplit/>
        </w:trPr>
        <w:tc>
          <w:tcPr>
            <w:tcW w:type="dxa" w:w="3515"/>
            <w:vAlign w:val="center"/>
          </w:tcPr>
          <w:p>
            <w:pPr>
              <w:spacing w:after="40" w:before="40"/>
            </w:pPr>
            <w:r>
              <w:rPr>
                <w:sz w:val="18"/>
              </w:rPr>
              <w:t>in_frozen_train_mouse_go</w:t>
            </w:r>
          </w:p>
        </w:tc>
        <w:tc>
          <w:tcPr>
            <w:tcW w:type="dxa" w:w="6066"/>
            <w:vAlign w:val="center"/>
          </w:tcPr>
          <w:p>
            <w:pPr>
              <w:spacing w:after="40" w:before="40"/>
            </w:pPr>
            <w:r>
              <w:rPr>
                <w:sz w:val="18"/>
              </w:rPr>
              <w:t>同じMouse–GO関係がFrozen Trainに存在するか</w:t>
            </w:r>
          </w:p>
        </w:tc>
      </w:tr>
      <w:tr>
        <w:trPr>
          <w:cantSplit/>
        </w:trPr>
        <w:tc>
          <w:tcPr>
            <w:tcW w:type="dxa" w:w="3515"/>
            <w:vAlign w:val="center"/>
          </w:tcPr>
          <w:p>
            <w:pPr>
              <w:spacing w:after="40" w:before="40"/>
            </w:pPr>
            <w:r>
              <w:rPr>
                <w:sz w:val="18"/>
              </w:rPr>
              <w:t>interpretation_boundary</w:t>
            </w:r>
          </w:p>
        </w:tc>
        <w:tc>
          <w:tcPr>
            <w:tcW w:type="dxa" w:w="6066"/>
            <w:vAlign w:val="center"/>
          </w:tcPr>
          <w:p>
            <w:pPr>
              <w:spacing w:after="40" w:before="40"/>
            </w:pPr>
            <w:r>
              <w:rPr>
                <w:sz w:val="18"/>
              </w:rPr>
              <w:t>解釈上の制限事項</w:t>
            </w:r>
          </w:p>
        </w:tc>
      </w:tr>
    </w:tbl>
    <w:p>
      <w:pPr>
        <w:spacing w:after="0"/>
      </w:pPr>
    </w:p>
    <w:p>
      <w:r>
        <w:t>「全注釈」はあくまで8504が参照する固定GO集計表の対象範囲内です。全公開GOデータや、マウスの実験的表現型すべてを表しません。</w:t>
      </w:r>
    </w:p>
    <w:p>
      <w:r/>
    </w:p>
    <w:p>
      <w:pPr>
        <w:pStyle w:val="Heading1"/>
      </w:pPr>
      <w:r>
        <w:t>9. Macでの検証手順（最初はプレビュー）</w:t>
      </w:r>
    </w:p>
    <w:p>
      <w:r>
        <w:t>1. ZIPをダウンロードし、提示したSHA256を照合します。ZIPのCRC検査後、添付の無上書き配置スクリプトで別ディレクトリへ展開します。</w:t>
      </w:r>
    </w:p>
    <w:p>
      <w:r>
        <w:t>2. v1.0.1の8504番は止めず、まず 18570番で v1.0.2を起動します。</w:t>
      </w:r>
    </w:p>
    <w:p>
      <w:r>
        <w:t>3. ブラウザで http://127.0.0.1:18570 を開き、①版表示 ②T2D以外の疾患 ③11タブの未接続表示 ④TOP50 CSV名・50行 ⑤T2D固定資料が汎用根拠として出ないことを確認します。</w:t>
      </w:r>
    </w:p>
    <w:p>
      <w:r>
        <w:t>4. 18570がPASSした場合に限り、ユーザー自身の明示操作で旧v1.0.1の8504プロセスを安全に停止し、新v1.0.2を8504番で起動します。旧プロセスを自動停止しません。</w:t>
      </w:r>
    </w:p>
    <w:p>
      <w:pPr>
        <w:pStyle w:val="Heading1"/>
      </w:pPr>
      <w:r>
        <w:t>10. 新配布物内のシェル操作</w:t>
      </w:r>
    </w:p>
    <w:p>
      <w:r>
        <w:t>Mac配置先：/Users/kushidatatsuya/projects/kge/bridge_node2vec_2026/releases/KGE_8504_V1_0_2_RC2_MAC_LOCAL_20261028/</w:t>
      </w:r>
    </w:p>
    <w:p>
      <w:r>
        <w:rPr>
          <w:b/>
        </w:rPr>
        <w:t>プレビュー起動：</w:t>
      </w:r>
      <w:r>
        <w:t>/bin/sh "$ROOT/RUN_LOCAL_RELEASE_8504.sh" 18570</w:t>
      </w:r>
    </w:p>
    <w:p>
      <w:r>
        <w:rPr>
          <w:b/>
        </w:rPr>
        <w:t>プレビュー確認：</w:t>
      </w:r>
      <w:r>
        <w:t>/bin/sh "$ROOT/CHECK_LOCAL_RELEASE_8504.sh" 18570</w:t>
      </w:r>
    </w:p>
    <w:p>
      <w:r>
        <w:rPr>
          <w:b/>
        </w:rPr>
        <w:t>プレビュー停止：</w:t>
      </w:r>
      <w:r>
        <w:t>/bin/sh "$ROOT/STOP_LOCAL_RELEASE_8504.sh" 18570</w:t>
      </w:r>
    </w:p>
    <w:p>
      <w:r>
        <w:rPr>
          <w:b/>
        </w:rPr>
        <w:t>8504番で起動（旧プロセス停止を別途確認後）：</w:t>
      </w:r>
      <w:r>
        <w:t>/bin/sh "$ROOT/RUN_LOCAL_RELEASE_8504.sh" 8504</w:t>
      </w:r>
    </w:p>
    <w:p>
      <w:r>
        <w:rPr>
          <w:b/>
        </w:rPr>
        <w:t>8504番の実行確認：</w:t>
      </w:r>
      <w:r>
        <w:t>/bin/sh "$ROOT/CHECK_LOCAL_RELEASE_8504.sh" 8504</w:t>
      </w:r>
    </w:p>
    <w:p>
      <w:r>
        <w:t>最初にROOTを次のMac絶対パスとして指定してください：</w:t>
      </w:r>
    </w:p>
    <w:p>
      <w:r>
        <w:t>ROOT="$HOME/projects/kge/bridge_node2vec_2026/releases/KGE_8504_V1_0_2_RC2_MAC_LOCAL_20261028"</w:t>
      </w:r>
    </w:p>
    <w:p>
      <w:pPr>
        <w:pStyle w:val="Heading1"/>
      </w:pPr>
      <w:r>
        <w:t>11. CSVの意味</w:t>
      </w:r>
    </w:p>
    <w:p>
      <w:r>
        <w:t>専用ボタン「選択手法の上位50候補をCSV保存」は、例えば KGE_8504_MONDO_0005148_node2vec_TOP50_20261028_191630_JST.csv の形式で、順位1～50位の50行を書き出します。全5,892候補の原本TSVではありません。ダウンロードでKGEの順位自体は変更しません。</w:t>
      </w:r>
      <w:r>
        <w:t xml:space="preserve"> CSV名の時刻は日本時間(JST)のボタン表示時刻です。クリック時刻とは限りません。</w:t>
      </w:r>
    </w:p>
    <w:p>
      <w:pPr>
        <w:pStyle w:val="Heading1"/>
      </w:pPr>
      <w:r>
        <w:t>12. LLMの機能境界</w:t>
      </w:r>
    </w:p>
    <w:p>
      <w:r>
        <w:t>固定入力JSON・prompt・出力schemaのダウンロード、および外部で生成されたJSONの形式／候補ID／出典識別子の限定検査は実装済みです。ただし8501・8510への自動接続、LLM API呼出し、正式な科学的HML判断は未実装です。書式検査のPASSは科学的根拠の妥当性を証明しません。</w:t>
      </w:r>
    </w:p>
    <w:p>
      <w:pPr>
        <w:pStyle w:val="Heading1"/>
      </w:pPr>
      <w:r>
        <w:t>13. 保全と受入</w:t>
      </w:r>
    </w:p>
    <w:p>
      <w:r>
        <w:t>旧v1.0.1配布ZIP、既存Gitブランチ・タグ、正式FX9B FIX1、凍結Train/GO/G-FINAL、PRIMARY_TEST/TEST/WITHHELD、8501/8510/8502の原本は変更しません。REG04 11件は正式閉鎖0/11、PR #3はDraft/未マージのままです。</w:t>
      </w:r>
    </w:p>
    <w:p>
      <w:r>
        <w:t>本書は緊急修正版の操作説明であり、順位形成原因や疾患モデル妥当性に関する新たな科学的成果を報告するものではありません。</w:t>
      </w:r>
    </w:p>
    <w:sectPr w:rsidR="00FC693F" w:rsidRPr="0006063C" w:rsidSect="00034616">
      <w:footerReference w:type="default" r:id="rId9"/>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B"/>
        <w:sz w:val="16"/>
      </w:rPr>
      <w:t>KGE 8504 v1.0.2 RC2 | Emergency scope correction | Mac-local pending receipt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CJK JP" w:hAnsi="Noto Sans CJK JP" w:eastAsia="Noto Sans CJK JP"/>
      <w:b/>
      <w:bCs/>
      <w:color w:val="1F374E"/>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JP" w:hAnsi="Noto Sans CJK JP" w:eastAsia="Noto Sans CJK JP"/>
      <w:b/>
      <w:bCs/>
      <w:color w:val="1F374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Noto Sans CJK JP" w:hAnsi="Noto Sans CJK JP" w:eastAsia="Noto Sans CJK JP"/>
      <w:b/>
      <w:color w:val="1F374E"/>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