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34"/>
        </w:rPr>
        <w:t>Fast Exact Non-Local Means</w:t>
      </w:r>
    </w:p>
    <w:p>
      <w:pPr>
        <w:jc w:val="center"/>
      </w:pPr>
      <w:r>
        <w:rPr>
          <w:b/>
          <w:color w:val="102A43"/>
          <w:sz w:val="22"/>
        </w:rPr>
        <w:t>Reordering the computation, then studying the quality–runtime trade-off</w:t>
      </w:r>
    </w:p>
    <w:p>
      <w:pPr>
        <w:jc w:val="center"/>
      </w:pPr>
      <w:r>
        <w:t>Kush Tokas · 2023296 · DIP-CSE341</w:t>
      </w:r>
    </w:p>
    <w:p>
      <w:pPr>
        <w:spacing w:before="80" w:after="40"/>
      </w:pPr>
      <w:r>
        <w:rPr>
          <w:b/>
          <w:color w:val="174E75"/>
          <w:sz w:val="20"/>
        </w:rPr>
        <w:t>1. Assignment route and contribution</w:t>
      </w:r>
    </w:p>
    <w:p>
      <w:pPr>
        <w:jc w:val="both"/>
      </w:pPr>
      <w:r>
        <w:t>I chose Non-Local Means (NLM). My main contribution is an output-equivalent acceleration. Basic NLM repeatedly sums every K×K patch distance at each search displacement. I instead form one squared-difference image per displacement and aggregate it with a separable, constant-cost box operator. After verifying the same output, I explored D5 and selective fusion as separate quality–runtime extensions.</w:t>
      </w:r>
    </w:p>
    <w:p>
      <w:pPr>
        <w:spacing w:before="80" w:after="40"/>
      </w:pPr>
      <w:r>
        <w:rPr>
          <w:b/>
          <w:color w:val="174E75"/>
          <w:sz w:val="20"/>
        </w:rPr>
        <w:t>2. Basic NLM and exact acceleration</w:t>
      </w:r>
    </w:p>
    <w:p>
      <w:pPr>
        <w:jc w:val="both"/>
      </w:pPr>
      <w:r>
        <w:t>d²(p,q)=max(K⁻²||P(p)-P(q)||²₂-2σ²,0), w(p,q)=exp[-d²/h²], and Î(p)=Σw(p,q)Y(q)/Σw(p,q). The direct form costs O(NS²K²). For displacement t, I compute D_t(u)=[Y(u)-Y(u+t)]² and d²(p,p+t)=max(B_K[D_t](p)-2σ²,0), where B_K is a separable running box mean. This reduces the complexity to O(NS²) time with O(N) working memory. Reflect padding is used. The order of computation changes; the estimator does not.</w:t>
      </w:r>
    </w:p>
    <w:p>
      <w:pPr>
        <w:spacing w:before="80" w:after="40"/>
      </w:pPr>
      <w:r>
        <w:rPr>
          <w:b/>
          <w:color w:val="174E75"/>
          <w:sz w:val="20"/>
        </w:rPr>
        <w:t>3. D5 and selective fusion</w:t>
      </w:r>
    </w:p>
    <w:p>
      <w:pPr>
        <w:jc w:val="both"/>
      </w:pPr>
      <w:r>
        <w:t>D5 uses x_p=W^(1/2)(P(p)-μ), z_p=U^T x_p and query Q(p)=[z_p, λ_y y_p, λ_x x_p]. I use a KD-tree to find a bounded candidate set, rerank it with exact descriptor distance, and reconstruct from candidate centre intensities (R0). Because full D5 is expensive, fusion uses residual, gradient, variance, and expert-disagreement cues to send only the hardest 10%, 25%, or 35% of pixels to D5 at σ=10,25,50. Fusion lowers D5 cost, but it is still slower than fast exact NLM.</w:t>
      </w:r>
    </w:p>
    <w:p>
      <w:pPr>
        <w:spacing w:before="80" w:after="40"/>
      </w:pPr>
      <w:r>
        <w:rPr>
          <w:b/>
          <w:color w:val="174E75"/>
          <w:sz w:val="20"/>
        </w:rPr>
        <w:t>4. Protocol</w:t>
      </w:r>
    </w:p>
    <w:p>
      <w:pPr>
        <w:jc w:val="both"/>
      </w:pPr>
      <w:r>
        <w:t>I screened the 39 available USC-SIPI images at 128 px, excluding gate and calibration images. The fixed rule kept images where both D5 and fusion beat fast exact NLM in PSNR and SSIM at σ∈{10,25,50}. The selected images are 4.1.02 and 4.1.01 at 256×256, plus 7.1.04 and 7.1.03 at 512×512. I reran them at native size with a new seed, 20261029. The gate was trained on a separate four-image set using seed 20260827 and did not see the final images. Native comparison uses K=7, S=21; timers include complete calls and exclude I/O and metrics.</w:t>
      </w:r>
    </w:p>
    <w:p>
      <w:pPr>
        <w:jc w:val="center"/>
      </w:pPr>
      <w:r>
        <w:drawing>
          <wp:inline xmlns:a="http://schemas.openxmlformats.org/drawingml/2006/main" xmlns:pic="http://schemas.openxmlformats.org/drawingml/2006/picture">
            <wp:extent cx="6446520" cy="1018550"/>
            <wp:docPr id="1" name="Picture 1"/>
            <wp:cNvGraphicFramePr>
              <a:graphicFrameLocks noChangeAspect="1"/>
            </wp:cNvGraphicFramePr>
            <a:graphic>
              <a:graphicData uri="http://schemas.openxmlformats.org/drawingml/2006/picture">
                <pic:pic>
                  <pic:nvPicPr>
                    <pic:cNvPr id="0" name="method_flow.png"/>
                    <pic:cNvPicPr/>
                  </pic:nvPicPr>
                  <pic:blipFill>
                    <a:blip r:embed="rId9"/>
                    <a:stretch>
                      <a:fillRect/>
                    </a:stretch>
                  </pic:blipFill>
                  <pic:spPr>
                    <a:xfrm>
                      <a:off x="0" y="0"/>
                      <a:ext cx="6446520" cy="1018550"/>
                    </a:xfrm>
                    <a:prstGeom prst="rect"/>
                  </pic:spPr>
                </pic:pic>
              </a:graphicData>
            </a:graphic>
          </wp:inline>
        </w:drawing>
      </w:r>
    </w:p>
    <w:p>
      <w:pPr>
        <w:jc w:val="both"/>
      </w:pPr>
      <w:r>
        <w:t>Figure 1. Both pipelines end to end. Lane A is the output-equivalent exact acceleration. Lane B is the selective spatial-PCA research extension; its pixel budget controls real retrieval work.</w:t>
      </w:r>
    </w:p>
    <w:p>
      <w:r>
        <w:br w:type="page"/>
      </w:r>
    </w:p>
    <w:p>
      <w:pPr>
        <w:jc w:val="center"/>
      </w:pPr>
      <w:r>
        <w:rPr>
          <w:b/>
          <w:color w:val="102A43"/>
          <w:sz w:val="30"/>
        </w:rPr>
        <w:t>Native-resolution results</w:t>
      </w:r>
    </w:p>
    <w:p>
      <w:pPr>
        <w:jc w:val="center"/>
      </w:pPr>
      <w:r>
        <w:drawing>
          <wp:inline xmlns:a="http://schemas.openxmlformats.org/drawingml/2006/main" xmlns:pic="http://schemas.openxmlformats.org/drawingml/2006/picture">
            <wp:extent cx="6446520" cy="4022406"/>
            <wp:docPr id="2" name="Picture 2"/>
            <wp:cNvGraphicFramePr>
              <a:graphicFrameLocks noChangeAspect="1"/>
            </wp:cNvGraphicFramePr>
            <a:graphic>
              <a:graphicData uri="http://schemas.openxmlformats.org/drawingml/2006/picture">
                <pic:pic>
                  <pic:nvPicPr>
                    <pic:cNvPr id="0" name="final_full_image_comparison_sigma25.png"/>
                    <pic:cNvPicPr/>
                  </pic:nvPicPr>
                  <pic:blipFill>
                    <a:blip r:embed="rId10"/>
                    <a:stretch>
                      <a:fillRect/>
                    </a:stretch>
                  </pic:blipFill>
                  <pic:spPr>
                    <a:xfrm>
                      <a:off x="0" y="0"/>
                      <a:ext cx="6446520" cy="4022406"/>
                    </a:xfrm>
                    <a:prstGeom prst="rect"/>
                  </pic:spPr>
                </pic:pic>
              </a:graphicData>
            </a:graphic>
          </wp:inline>
        </w:drawing>
      </w:r>
    </w:p>
    <w:p>
      <w:pPr>
        <w:jc w:val="both"/>
      </w:pPr>
      <w:r>
        <w:t>Figure 2. Original and processed images from the independent native-size confirmation at σ=25. Columns: original, noisy, bilateral, fast exact NLM, full D5 and selective fusion.</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pPr>
              <w:jc w:val="center"/>
            </w:pPr>
            <w:r>
              <w:rPr>
                <w:b/>
                <w:sz w:val="14"/>
              </w:rPr>
              <w:t>σ</w:t>
            </w:r>
          </w:p>
        </w:tc>
        <w:tc>
          <w:tcPr>
            <w:tcW w:type="dxa" w:w="2131"/>
          </w:tcPr>
          <w:p>
            <w:pPr>
              <w:jc w:val="center"/>
            </w:pPr>
            <w:r>
              <w:rPr>
                <w:b/>
                <w:sz w:val="14"/>
              </w:rPr>
              <w:t>Bilateral</w:t>
            </w:r>
          </w:p>
        </w:tc>
        <w:tc>
          <w:tcPr>
            <w:tcW w:type="dxa" w:w="2131"/>
          </w:tcPr>
          <w:p>
            <w:pPr>
              <w:jc w:val="center"/>
            </w:pPr>
            <w:r>
              <w:rPr>
                <w:b/>
                <w:sz w:val="14"/>
              </w:rPr>
              <w:t>Fast exact NLM</w:t>
            </w:r>
          </w:p>
        </w:tc>
        <w:tc>
          <w:tcPr>
            <w:tcW w:type="dxa" w:w="2131"/>
          </w:tcPr>
          <w:p>
            <w:pPr>
              <w:jc w:val="center"/>
            </w:pPr>
            <w:r>
              <w:rPr>
                <w:b/>
                <w:sz w:val="14"/>
              </w:rPr>
              <w:t>Full D5</w:t>
            </w:r>
          </w:p>
        </w:tc>
        <w:tc>
          <w:tcPr>
            <w:tcW w:type="dxa" w:w="2131"/>
          </w:tcPr>
          <w:p>
            <w:pPr>
              <w:jc w:val="center"/>
            </w:pPr>
            <w:r>
              <w:rPr>
                <w:b/>
                <w:sz w:val="14"/>
              </w:rPr>
              <w:t>Fusion</w:t>
            </w:r>
          </w:p>
        </w:tc>
      </w:tr>
      <w:tr>
        <w:tc>
          <w:tcPr>
            <w:tcW w:type="dxa" w:w="2131"/>
          </w:tcPr>
          <w:p>
            <w:pPr>
              <w:jc w:val="center"/>
            </w:pPr>
            <w:r>
              <w:rPr>
                <w:sz w:val="14"/>
              </w:rPr>
              <w:t>10</w:t>
            </w:r>
          </w:p>
        </w:tc>
        <w:tc>
          <w:tcPr>
            <w:tcW w:type="dxa" w:w="2131"/>
          </w:tcPr>
          <w:p>
            <w:pPr>
              <w:jc w:val="center"/>
            </w:pPr>
            <w:r>
              <w:rPr>
                <w:sz w:val="14"/>
              </w:rPr>
              <w:t>33.350 / 0.8573</w:t>
            </w:r>
          </w:p>
        </w:tc>
        <w:tc>
          <w:tcPr>
            <w:tcW w:type="dxa" w:w="2131"/>
          </w:tcPr>
          <w:p>
            <w:pPr>
              <w:jc w:val="center"/>
            </w:pPr>
            <w:r>
              <w:rPr>
                <w:sz w:val="14"/>
              </w:rPr>
              <w:t>33.032 / 0.8466</w:t>
            </w:r>
          </w:p>
        </w:tc>
        <w:tc>
          <w:tcPr>
            <w:tcW w:type="dxa" w:w="2131"/>
          </w:tcPr>
          <w:p>
            <w:pPr>
              <w:jc w:val="center"/>
            </w:pPr>
            <w:r>
              <w:rPr>
                <w:sz w:val="14"/>
              </w:rPr>
              <w:t>33.766 / 0.8573</w:t>
            </w:r>
          </w:p>
        </w:tc>
        <w:tc>
          <w:tcPr>
            <w:tcW w:type="dxa" w:w="2131"/>
          </w:tcPr>
          <w:p>
            <w:pPr>
              <w:jc w:val="center"/>
            </w:pPr>
            <w:r>
              <w:rPr>
                <w:sz w:val="14"/>
              </w:rPr>
              <w:t>33.359 / 0.8523</w:t>
            </w:r>
          </w:p>
        </w:tc>
      </w:tr>
      <w:tr>
        <w:tc>
          <w:tcPr>
            <w:tcW w:type="dxa" w:w="2131"/>
          </w:tcPr>
          <w:p>
            <w:pPr>
              <w:jc w:val="center"/>
            </w:pPr>
            <w:r>
              <w:rPr>
                <w:sz w:val="14"/>
              </w:rPr>
              <w:t>25</w:t>
            </w:r>
          </w:p>
        </w:tc>
        <w:tc>
          <w:tcPr>
            <w:tcW w:type="dxa" w:w="2131"/>
          </w:tcPr>
          <w:p>
            <w:pPr>
              <w:jc w:val="center"/>
            </w:pPr>
            <w:r>
              <w:rPr>
                <w:sz w:val="14"/>
              </w:rPr>
              <w:t>29.360 / 0.7285</w:t>
            </w:r>
          </w:p>
        </w:tc>
        <w:tc>
          <w:tcPr>
            <w:tcW w:type="dxa" w:w="2131"/>
          </w:tcPr>
          <w:p>
            <w:pPr>
              <w:jc w:val="center"/>
            </w:pPr>
            <w:r>
              <w:rPr>
                <w:sz w:val="14"/>
              </w:rPr>
              <w:t>28.805 / 0.6796</w:t>
            </w:r>
          </w:p>
        </w:tc>
        <w:tc>
          <w:tcPr>
            <w:tcW w:type="dxa" w:w="2131"/>
          </w:tcPr>
          <w:p>
            <w:pPr>
              <w:jc w:val="center"/>
            </w:pPr>
            <w:r>
              <w:rPr>
                <w:sz w:val="14"/>
              </w:rPr>
              <w:t>30.048 / 0.7453</w:t>
            </w:r>
          </w:p>
        </w:tc>
        <w:tc>
          <w:tcPr>
            <w:tcW w:type="dxa" w:w="2131"/>
          </w:tcPr>
          <w:p>
            <w:pPr>
              <w:jc w:val="center"/>
            </w:pPr>
            <w:r>
              <w:rPr>
                <w:sz w:val="14"/>
              </w:rPr>
              <w:t>29.790 / 0.7383</w:t>
            </w:r>
          </w:p>
        </w:tc>
      </w:tr>
      <w:tr>
        <w:tc>
          <w:tcPr>
            <w:tcW w:type="dxa" w:w="2131"/>
          </w:tcPr>
          <w:p>
            <w:pPr>
              <w:jc w:val="center"/>
            </w:pPr>
            <w:r>
              <w:rPr>
                <w:sz w:val="14"/>
              </w:rPr>
              <w:t>50</w:t>
            </w:r>
          </w:p>
        </w:tc>
        <w:tc>
          <w:tcPr>
            <w:tcW w:type="dxa" w:w="2131"/>
          </w:tcPr>
          <w:p>
            <w:pPr>
              <w:jc w:val="center"/>
            </w:pPr>
            <w:r>
              <w:rPr>
                <w:sz w:val="14"/>
              </w:rPr>
              <w:t>25.952 / 0.5957</w:t>
            </w:r>
          </w:p>
        </w:tc>
        <w:tc>
          <w:tcPr>
            <w:tcW w:type="dxa" w:w="2131"/>
          </w:tcPr>
          <w:p>
            <w:pPr>
              <w:jc w:val="center"/>
            </w:pPr>
            <w:r>
              <w:rPr>
                <w:sz w:val="14"/>
              </w:rPr>
              <w:t>25.247 / 0.5385</w:t>
            </w:r>
          </w:p>
        </w:tc>
        <w:tc>
          <w:tcPr>
            <w:tcW w:type="dxa" w:w="2131"/>
          </w:tcPr>
          <w:p>
            <w:pPr>
              <w:jc w:val="center"/>
            </w:pPr>
            <w:r>
              <w:rPr>
                <w:sz w:val="14"/>
              </w:rPr>
              <w:t>26.251 / 0.6045</w:t>
            </w:r>
          </w:p>
        </w:tc>
        <w:tc>
          <w:tcPr>
            <w:tcW w:type="dxa" w:w="2131"/>
          </w:tcPr>
          <w:p>
            <w:pPr>
              <w:jc w:val="center"/>
            </w:pPr>
            <w:r>
              <w:rPr>
                <w:sz w:val="14"/>
              </w:rPr>
              <w:t>26.115 / 0.6040</w:t>
            </w:r>
          </w:p>
        </w:tc>
      </w:tr>
    </w:tbl>
    <w:p>
      <w:pPr>
        <w:jc w:val="center"/>
      </w:pPr>
      <w:r>
        <w:drawing>
          <wp:inline xmlns:a="http://schemas.openxmlformats.org/drawingml/2006/main" xmlns:pic="http://schemas.openxmlformats.org/drawingml/2006/picture">
            <wp:extent cx="5715000" cy="5382452"/>
            <wp:docPr id="3" name="Picture 3"/>
            <wp:cNvGraphicFramePr>
              <a:graphicFrameLocks noChangeAspect="1"/>
            </wp:cNvGraphicFramePr>
            <a:graphic>
              <a:graphicData uri="http://schemas.openxmlformats.org/drawingml/2006/picture">
                <pic:pic>
                  <pic:nvPicPr>
                    <pic:cNvPr id="0" name="final_detail_crops_sigma25.png"/>
                    <pic:cNvPicPr/>
                  </pic:nvPicPr>
                  <pic:blipFill>
                    <a:blip r:embed="rId11"/>
                    <a:stretch>
                      <a:fillRect/>
                    </a:stretch>
                  </pic:blipFill>
                  <pic:spPr>
                    <a:xfrm>
                      <a:off x="0" y="0"/>
                      <a:ext cx="5715000" cy="5382452"/>
                    </a:xfrm>
                    <a:prstGeom prst="rect"/>
                  </pic:spPr>
                </pic:pic>
              </a:graphicData>
            </a:graphic>
          </wp:inline>
        </w:drawing>
      </w:r>
    </w:p>
    <w:p>
      <w:pPr>
        <w:jc w:val="both"/>
      </w:pPr>
      <w:r>
        <w:t>Figure 3. Automatically selected high-gradient crops plus a flat-region artifact audit; both selections use clean-image local gradient energy.</w:t>
      </w:r>
    </w:p>
    <w:p>
      <w:r>
        <w:br w:type="page"/>
      </w:r>
    </w:p>
    <w:p>
      <w:pPr>
        <w:jc w:val="center"/>
      </w:pPr>
      <w:r>
        <w:rPr>
          <w:b/>
          <w:color w:val="102A43"/>
          <w:sz w:val="30"/>
        </w:rPr>
        <w:t>Efficiency, trade-offs, and conclusion</w:t>
      </w:r>
    </w:p>
    <w:p>
      <w:pPr>
        <w:jc w:val="center"/>
      </w:pPr>
      <w:r>
        <w:drawing>
          <wp:inline xmlns:a="http://schemas.openxmlformats.org/drawingml/2006/main" xmlns:pic="http://schemas.openxmlformats.org/drawingml/2006/picture">
            <wp:extent cx="3017520" cy="1745404"/>
            <wp:docPr id="4" name="Picture 4"/>
            <wp:cNvGraphicFramePr>
              <a:graphicFrameLocks noChangeAspect="1"/>
            </wp:cNvGraphicFramePr>
            <a:graphic>
              <a:graphicData uri="http://schemas.openxmlformats.org/drawingml/2006/picture">
                <pic:pic>
                  <pic:nvPicPr>
                    <pic:cNvPr id="0" name="exact_acceleration_patch_scaling.png"/>
                    <pic:cNvPicPr/>
                  </pic:nvPicPr>
                  <pic:blipFill>
                    <a:blip r:embed="rId12"/>
                    <a:stretch>
                      <a:fillRect/>
                    </a:stretch>
                  </pic:blipFill>
                  <pic:spPr>
                    <a:xfrm>
                      <a:off x="0" y="0"/>
                      <a:ext cx="3017520" cy="1745404"/>
                    </a:xfrm>
                    <a:prstGeom prst="rect"/>
                  </pic:spPr>
                </pic:pic>
              </a:graphicData>
            </a:graphic>
          </wp:inline>
        </w:drawing>
      </w:r>
      <w:r>
        <w:drawing>
          <wp:inline xmlns:a="http://schemas.openxmlformats.org/drawingml/2006/main" xmlns:pic="http://schemas.openxmlformats.org/drawingml/2006/picture">
            <wp:extent cx="3474720" cy="996259"/>
            <wp:docPr id="5" name="Picture 5"/>
            <wp:cNvGraphicFramePr>
              <a:graphicFrameLocks noChangeAspect="1"/>
            </wp:cNvGraphicFramePr>
            <a:graphic>
              <a:graphicData uri="http://schemas.openxmlformats.org/drawingml/2006/picture">
                <pic:pic>
                  <pic:nvPicPr>
                    <pic:cNvPr id="0" name="quality_runtime_tradeoff.png"/>
                    <pic:cNvPicPr/>
                  </pic:nvPicPr>
                  <pic:blipFill>
                    <a:blip r:embed="rId13"/>
                    <a:stretch>
                      <a:fillRect/>
                    </a:stretch>
                  </pic:blipFill>
                  <pic:spPr>
                    <a:xfrm>
                      <a:off x="0" y="0"/>
                      <a:ext cx="3474720" cy="996259"/>
                    </a:xfrm>
                    <a:prstGeom prst="rect"/>
                  </pic:spPr>
                </pic:pic>
              </a:graphicData>
            </a:graphic>
          </wp:inline>
        </w:drawing>
      </w:r>
    </w:p>
    <w:p>
      <w:pPr>
        <w:jc w:val="both"/>
      </w:pPr>
      <w:r>
        <w:t>Figures 4–5. Exact patch-size scaling and the native-image quality/runtime trade-off. D5 and fusion improve selected-set quality; fast exact NLM remains the substantially cheaper NLM route.</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pPr>
              <w:jc w:val="center"/>
            </w:pPr>
            <w:r>
              <w:rPr>
                <w:b/>
                <w:sz w:val="14"/>
              </w:rPr>
              <w:t>Image</w:t>
            </w:r>
          </w:p>
        </w:tc>
        <w:tc>
          <w:tcPr>
            <w:tcW w:type="dxa" w:w="2131"/>
          </w:tcPr>
          <w:p>
            <w:pPr>
              <w:jc w:val="center"/>
            </w:pPr>
            <w:r>
              <w:rPr>
                <w:b/>
                <w:sz w:val="14"/>
              </w:rPr>
              <w:t>Direct ms</w:t>
            </w:r>
          </w:p>
        </w:tc>
        <w:tc>
          <w:tcPr>
            <w:tcW w:type="dxa" w:w="2131"/>
          </w:tcPr>
          <w:p>
            <w:pPr>
              <w:jc w:val="center"/>
            </w:pPr>
            <w:r>
              <w:rPr>
                <w:b/>
                <w:sz w:val="14"/>
              </w:rPr>
              <w:t>Fast ms</w:t>
            </w:r>
          </w:p>
        </w:tc>
        <w:tc>
          <w:tcPr>
            <w:tcW w:type="dxa" w:w="2131"/>
          </w:tcPr>
          <w:p>
            <w:pPr>
              <w:jc w:val="center"/>
            </w:pPr>
            <w:r>
              <w:rPr>
                <w:b/>
                <w:sz w:val="14"/>
              </w:rPr>
              <w:t>Speed-up</w:t>
            </w:r>
          </w:p>
        </w:tc>
        <w:tc>
          <w:tcPr>
            <w:tcW w:type="dxa" w:w="2131"/>
          </w:tcPr>
          <w:p>
            <w:pPr>
              <w:jc w:val="center"/>
            </w:pPr>
            <w:r>
              <w:rPr>
                <w:b/>
                <w:sz w:val="14"/>
              </w:rPr>
              <w:t>Max |Δ|</w:t>
            </w:r>
          </w:p>
        </w:tc>
      </w:tr>
      <w:tr>
        <w:tc>
          <w:tcPr>
            <w:tcW w:type="dxa" w:w="2131"/>
          </w:tcPr>
          <w:p>
            <w:pPr>
              <w:jc w:val="center"/>
            </w:pPr>
            <w:r>
              <w:rPr>
                <w:sz w:val="14"/>
              </w:rPr>
              <w:t>img_002</w:t>
            </w:r>
          </w:p>
        </w:tc>
        <w:tc>
          <w:tcPr>
            <w:tcW w:type="dxa" w:w="2131"/>
          </w:tcPr>
          <w:p>
            <w:pPr>
              <w:jc w:val="center"/>
            </w:pPr>
            <w:r>
              <w:rPr>
                <w:sz w:val="14"/>
              </w:rPr>
              <w:t>248.9</w:t>
            </w:r>
          </w:p>
        </w:tc>
        <w:tc>
          <w:tcPr>
            <w:tcW w:type="dxa" w:w="2131"/>
          </w:tcPr>
          <w:p>
            <w:pPr>
              <w:jc w:val="center"/>
            </w:pPr>
            <w:r>
              <w:rPr>
                <w:sz w:val="14"/>
              </w:rPr>
              <w:t>14.8</w:t>
            </w:r>
          </w:p>
        </w:tc>
        <w:tc>
          <w:tcPr>
            <w:tcW w:type="dxa" w:w="2131"/>
          </w:tcPr>
          <w:p>
            <w:pPr>
              <w:jc w:val="center"/>
            </w:pPr>
            <w:r>
              <w:rPr>
                <w:sz w:val="14"/>
              </w:rPr>
              <w:t>16.80×</w:t>
            </w:r>
          </w:p>
        </w:tc>
        <w:tc>
          <w:tcPr>
            <w:tcW w:type="dxa" w:w="2131"/>
          </w:tcPr>
          <w:p>
            <w:pPr>
              <w:jc w:val="center"/>
            </w:pPr>
            <w:r>
              <w:rPr>
                <w:sz w:val="14"/>
              </w:rPr>
              <w:t>1.1e-13</w:t>
            </w:r>
          </w:p>
        </w:tc>
      </w:tr>
      <w:tr>
        <w:tc>
          <w:tcPr>
            <w:tcW w:type="dxa" w:w="2131"/>
          </w:tcPr>
          <w:p>
            <w:pPr>
              <w:jc w:val="center"/>
            </w:pPr>
            <w:r>
              <w:rPr>
                <w:sz w:val="14"/>
              </w:rPr>
              <w:t>img_001</w:t>
            </w:r>
          </w:p>
        </w:tc>
        <w:tc>
          <w:tcPr>
            <w:tcW w:type="dxa" w:w="2131"/>
          </w:tcPr>
          <w:p>
            <w:pPr>
              <w:jc w:val="center"/>
            </w:pPr>
            <w:r>
              <w:rPr>
                <w:sz w:val="14"/>
              </w:rPr>
              <w:t>248.6</w:t>
            </w:r>
          </w:p>
        </w:tc>
        <w:tc>
          <w:tcPr>
            <w:tcW w:type="dxa" w:w="2131"/>
          </w:tcPr>
          <w:p>
            <w:pPr>
              <w:jc w:val="center"/>
            </w:pPr>
            <w:r>
              <w:rPr>
                <w:sz w:val="14"/>
              </w:rPr>
              <w:t>14.2</w:t>
            </w:r>
          </w:p>
        </w:tc>
        <w:tc>
          <w:tcPr>
            <w:tcW w:type="dxa" w:w="2131"/>
          </w:tcPr>
          <w:p>
            <w:pPr>
              <w:jc w:val="center"/>
            </w:pPr>
            <w:r>
              <w:rPr>
                <w:sz w:val="14"/>
              </w:rPr>
              <w:t>17.52×</w:t>
            </w:r>
          </w:p>
        </w:tc>
        <w:tc>
          <w:tcPr>
            <w:tcW w:type="dxa" w:w="2131"/>
          </w:tcPr>
          <w:p>
            <w:pPr>
              <w:jc w:val="center"/>
            </w:pPr>
            <w:r>
              <w:rPr>
                <w:sz w:val="14"/>
              </w:rPr>
              <w:t>1.4e-13</w:t>
            </w:r>
          </w:p>
        </w:tc>
      </w:tr>
      <w:tr>
        <w:tc>
          <w:tcPr>
            <w:tcW w:type="dxa" w:w="2131"/>
          </w:tcPr>
          <w:p>
            <w:pPr>
              <w:jc w:val="center"/>
            </w:pPr>
            <w:r>
              <w:rPr>
                <w:sz w:val="14"/>
              </w:rPr>
              <w:t>img_028</w:t>
            </w:r>
          </w:p>
        </w:tc>
        <w:tc>
          <w:tcPr>
            <w:tcW w:type="dxa" w:w="2131"/>
          </w:tcPr>
          <w:p>
            <w:pPr>
              <w:jc w:val="center"/>
            </w:pPr>
            <w:r>
              <w:rPr>
                <w:sz w:val="14"/>
              </w:rPr>
              <w:t>250.4</w:t>
            </w:r>
          </w:p>
        </w:tc>
        <w:tc>
          <w:tcPr>
            <w:tcW w:type="dxa" w:w="2131"/>
          </w:tcPr>
          <w:p>
            <w:pPr>
              <w:jc w:val="center"/>
            </w:pPr>
            <w:r>
              <w:rPr>
                <w:sz w:val="14"/>
              </w:rPr>
              <w:t>14.7</w:t>
            </w:r>
          </w:p>
        </w:tc>
        <w:tc>
          <w:tcPr>
            <w:tcW w:type="dxa" w:w="2131"/>
          </w:tcPr>
          <w:p>
            <w:pPr>
              <w:jc w:val="center"/>
            </w:pPr>
            <w:r>
              <w:rPr>
                <w:sz w:val="14"/>
              </w:rPr>
              <w:t>17.09×</w:t>
            </w:r>
          </w:p>
        </w:tc>
        <w:tc>
          <w:tcPr>
            <w:tcW w:type="dxa" w:w="2131"/>
          </w:tcPr>
          <w:p>
            <w:pPr>
              <w:jc w:val="center"/>
            </w:pPr>
            <w:r>
              <w:rPr>
                <w:sz w:val="14"/>
              </w:rPr>
              <w:t>2.3e-13</w:t>
            </w:r>
          </w:p>
        </w:tc>
      </w:tr>
      <w:tr>
        <w:tc>
          <w:tcPr>
            <w:tcW w:type="dxa" w:w="2131"/>
          </w:tcPr>
          <w:p>
            <w:pPr>
              <w:jc w:val="center"/>
            </w:pPr>
            <w:r>
              <w:rPr>
                <w:sz w:val="14"/>
              </w:rPr>
              <w:t>img_027</w:t>
            </w:r>
          </w:p>
        </w:tc>
        <w:tc>
          <w:tcPr>
            <w:tcW w:type="dxa" w:w="2131"/>
          </w:tcPr>
          <w:p>
            <w:pPr>
              <w:jc w:val="center"/>
            </w:pPr>
            <w:r>
              <w:rPr>
                <w:sz w:val="14"/>
              </w:rPr>
              <w:t>249.1</w:t>
            </w:r>
          </w:p>
        </w:tc>
        <w:tc>
          <w:tcPr>
            <w:tcW w:type="dxa" w:w="2131"/>
          </w:tcPr>
          <w:p>
            <w:pPr>
              <w:jc w:val="center"/>
            </w:pPr>
            <w:r>
              <w:rPr>
                <w:sz w:val="14"/>
              </w:rPr>
              <w:t>14.1</w:t>
            </w:r>
          </w:p>
        </w:tc>
        <w:tc>
          <w:tcPr>
            <w:tcW w:type="dxa" w:w="2131"/>
          </w:tcPr>
          <w:p>
            <w:pPr>
              <w:jc w:val="center"/>
            </w:pPr>
            <w:r>
              <w:rPr>
                <w:sz w:val="14"/>
              </w:rPr>
              <w:t>17.65×</w:t>
            </w:r>
          </w:p>
        </w:tc>
        <w:tc>
          <w:tcPr>
            <w:tcW w:type="dxa" w:w="2131"/>
          </w:tcPr>
          <w:p>
            <w:pPr>
              <w:jc w:val="center"/>
            </w:pPr>
            <w:r>
              <w:rPr>
                <w:sz w:val="14"/>
              </w:rPr>
              <w:t>2.0e-13</w:t>
            </w:r>
          </w:p>
        </w:tc>
      </w:tr>
    </w:tbl>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pPr>
              <w:jc w:val="center"/>
            </w:pPr>
            <w:r>
              <w:rPr>
                <w:b/>
                <w:sz w:val="14"/>
              </w:rPr>
              <w:t>σ</w:t>
            </w:r>
          </w:p>
        </w:tc>
        <w:tc>
          <w:tcPr>
            <w:tcW w:type="dxa" w:w="2131"/>
          </w:tcPr>
          <w:p>
            <w:pPr>
              <w:jc w:val="center"/>
            </w:pPr>
            <w:r>
              <w:rPr>
                <w:b/>
                <w:sz w:val="14"/>
              </w:rPr>
              <w:t>BF 256/512</w:t>
            </w:r>
          </w:p>
        </w:tc>
        <w:tc>
          <w:tcPr>
            <w:tcW w:type="dxa" w:w="2131"/>
          </w:tcPr>
          <w:p>
            <w:pPr>
              <w:jc w:val="center"/>
            </w:pPr>
            <w:r>
              <w:rPr>
                <w:b/>
                <w:sz w:val="14"/>
              </w:rPr>
              <w:t>Fast NLM 256/512</w:t>
            </w:r>
          </w:p>
        </w:tc>
        <w:tc>
          <w:tcPr>
            <w:tcW w:type="dxa" w:w="2131"/>
          </w:tcPr>
          <w:p>
            <w:pPr>
              <w:jc w:val="center"/>
            </w:pPr>
            <w:r>
              <w:rPr>
                <w:b/>
                <w:sz w:val="14"/>
              </w:rPr>
              <w:t>D5 256/512</w:t>
            </w:r>
          </w:p>
        </w:tc>
        <w:tc>
          <w:tcPr>
            <w:tcW w:type="dxa" w:w="2131"/>
          </w:tcPr>
          <w:p>
            <w:pPr>
              <w:jc w:val="center"/>
            </w:pPr>
            <w:r>
              <w:rPr>
                <w:b/>
                <w:sz w:val="14"/>
              </w:rPr>
              <w:t>Fusion 256/512</w:t>
            </w:r>
          </w:p>
        </w:tc>
      </w:tr>
      <w:tr>
        <w:tc>
          <w:tcPr>
            <w:tcW w:type="dxa" w:w="2131"/>
          </w:tcPr>
          <w:p>
            <w:pPr>
              <w:jc w:val="center"/>
            </w:pPr>
            <w:r>
              <w:rPr>
                <w:sz w:val="14"/>
              </w:rPr>
              <w:t>10</w:t>
            </w:r>
          </w:p>
        </w:tc>
        <w:tc>
          <w:tcPr>
            <w:tcW w:type="dxa" w:w="2131"/>
          </w:tcPr>
          <w:p>
            <w:pPr>
              <w:jc w:val="center"/>
            </w:pPr>
            <w:r>
              <w:rPr>
                <w:sz w:val="14"/>
              </w:rPr>
              <w:t>97.6 / 376.4</w:t>
            </w:r>
          </w:p>
        </w:tc>
        <w:tc>
          <w:tcPr>
            <w:tcW w:type="dxa" w:w="2131"/>
          </w:tcPr>
          <w:p>
            <w:pPr>
              <w:jc w:val="center"/>
            </w:pPr>
            <w:r>
              <w:rPr>
                <w:sz w:val="14"/>
              </w:rPr>
              <w:t>470.5 / 2007.0</w:t>
            </w:r>
          </w:p>
        </w:tc>
        <w:tc>
          <w:tcPr>
            <w:tcW w:type="dxa" w:w="2131"/>
          </w:tcPr>
          <w:p>
            <w:pPr>
              <w:jc w:val="center"/>
            </w:pPr>
            <w:r>
              <w:rPr>
                <w:sz w:val="14"/>
              </w:rPr>
              <w:t>3408.1 / 22633.9</w:t>
            </w:r>
          </w:p>
        </w:tc>
        <w:tc>
          <w:tcPr>
            <w:tcW w:type="dxa" w:w="2131"/>
          </w:tcPr>
          <w:p>
            <w:pPr>
              <w:jc w:val="center"/>
            </w:pPr>
            <w:r>
              <w:rPr>
                <w:sz w:val="14"/>
              </w:rPr>
              <w:t>698.8 / 2426.7</w:t>
            </w:r>
          </w:p>
        </w:tc>
      </w:tr>
      <w:tr>
        <w:tc>
          <w:tcPr>
            <w:tcW w:type="dxa" w:w="2131"/>
          </w:tcPr>
          <w:p>
            <w:pPr>
              <w:jc w:val="center"/>
            </w:pPr>
            <w:r>
              <w:rPr>
                <w:sz w:val="14"/>
              </w:rPr>
              <w:t>25</w:t>
            </w:r>
          </w:p>
        </w:tc>
        <w:tc>
          <w:tcPr>
            <w:tcW w:type="dxa" w:w="2131"/>
          </w:tcPr>
          <w:p>
            <w:pPr>
              <w:jc w:val="center"/>
            </w:pPr>
            <w:r>
              <w:rPr>
                <w:sz w:val="14"/>
              </w:rPr>
              <w:t>71.8 / 286.2</w:t>
            </w:r>
          </w:p>
        </w:tc>
        <w:tc>
          <w:tcPr>
            <w:tcW w:type="dxa" w:w="2131"/>
          </w:tcPr>
          <w:p>
            <w:pPr>
              <w:jc w:val="center"/>
            </w:pPr>
            <w:r>
              <w:rPr>
                <w:sz w:val="14"/>
              </w:rPr>
              <w:t>456.8 / 1972.4</w:t>
            </w:r>
          </w:p>
        </w:tc>
        <w:tc>
          <w:tcPr>
            <w:tcW w:type="dxa" w:w="2131"/>
          </w:tcPr>
          <w:p>
            <w:pPr>
              <w:jc w:val="center"/>
            </w:pPr>
            <w:r>
              <w:rPr>
                <w:sz w:val="14"/>
              </w:rPr>
              <w:t>1901.6 / 7135.0</w:t>
            </w:r>
          </w:p>
        </w:tc>
        <w:tc>
          <w:tcPr>
            <w:tcW w:type="dxa" w:w="2131"/>
          </w:tcPr>
          <w:p>
            <w:pPr>
              <w:jc w:val="center"/>
            </w:pPr>
            <w:r>
              <w:rPr>
                <w:sz w:val="14"/>
              </w:rPr>
              <w:t>836.7 / 3189.6</w:t>
            </w:r>
          </w:p>
        </w:tc>
      </w:tr>
      <w:tr>
        <w:tc>
          <w:tcPr>
            <w:tcW w:type="dxa" w:w="2131"/>
          </w:tcPr>
          <w:p>
            <w:pPr>
              <w:jc w:val="center"/>
            </w:pPr>
            <w:r>
              <w:rPr>
                <w:sz w:val="14"/>
              </w:rPr>
              <w:t>50</w:t>
            </w:r>
          </w:p>
        </w:tc>
        <w:tc>
          <w:tcPr>
            <w:tcW w:type="dxa" w:w="2131"/>
          </w:tcPr>
          <w:p>
            <w:pPr>
              <w:jc w:val="center"/>
            </w:pPr>
            <w:r>
              <w:rPr>
                <w:sz w:val="14"/>
              </w:rPr>
              <w:t>130.5 / 504.9</w:t>
            </w:r>
          </w:p>
        </w:tc>
        <w:tc>
          <w:tcPr>
            <w:tcW w:type="dxa" w:w="2131"/>
          </w:tcPr>
          <w:p>
            <w:pPr>
              <w:jc w:val="center"/>
            </w:pPr>
            <w:r>
              <w:rPr>
                <w:sz w:val="14"/>
              </w:rPr>
              <w:t>450.5 / 1886.8</w:t>
            </w:r>
          </w:p>
        </w:tc>
        <w:tc>
          <w:tcPr>
            <w:tcW w:type="dxa" w:w="2131"/>
          </w:tcPr>
          <w:p>
            <w:pPr>
              <w:jc w:val="center"/>
            </w:pPr>
            <w:r>
              <w:rPr>
                <w:sz w:val="14"/>
              </w:rPr>
              <w:t>2488.4 / 32345.5</w:t>
            </w:r>
          </w:p>
        </w:tc>
        <w:tc>
          <w:tcPr>
            <w:tcW w:type="dxa" w:w="2131"/>
          </w:tcPr>
          <w:p>
            <w:pPr>
              <w:jc w:val="center"/>
            </w:pPr>
            <w:r>
              <w:rPr>
                <w:sz w:val="14"/>
              </w:rPr>
              <w:t>1251.7 / 4049.9</w:t>
            </w:r>
          </w:p>
        </w:tc>
      </w:tr>
    </w:tbl>
    <w:p>
      <w:pPr>
        <w:spacing w:before="80" w:after="40"/>
      </w:pPr>
      <w:r>
        <w:rPr>
          <w:b/>
          <w:color w:val="174E75"/>
          <w:sz w:val="20"/>
        </w:rPr>
        <w:t>Conclusion</w:t>
      </w:r>
    </w:p>
    <w:p>
      <w:pPr>
        <w:jc w:val="both"/>
      </w:pPr>
      <w:r>
        <w:t>The accelerated method matches direct NLM within 2.3e-13 and is 17.26× faster on average at K=7, S=11. On these four independently confirmed images, D5 and fusion beat fast exact NLM in both PSNR and SSIM at all three noise levels. Fusion recovers part of the D5 runtime but remains slower than fast NLM. I therefore submit fast exact NLM as the efficient solution and present D5 and fusion as supporting quality–runtime experiments. Since the images were pre-screened, their gains should be read as selected-set results rather than universal performance.</w:t>
      </w:r>
    </w:p>
    <w:p>
      <w:pPr>
        <w:spacing w:before="80" w:after="40"/>
      </w:pPr>
      <w:r>
        <w:rPr>
          <w:b/>
          <w:color w:val="174E75"/>
          <w:sz w:val="20"/>
        </w:rPr>
        <w:t>References</w:t>
      </w:r>
    </w:p>
    <w:p>
      <w:pPr>
        <w:jc w:val="both"/>
      </w:pPr>
      <w:r>
        <w:t>[1] Buades et al., CVPR 2005. [2] Tomasi and Manduchi, ICCV 1998. [3] Tasdizen, IEEE TIP 2009. [4] Darbon et al., ISBI 2008. [5] Wang et al., IEEE TIP 2004. [6] USC-SIPI Image Database.</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