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257"/>
        <w:gridCol w:w="3061"/>
      </w:tblGrid>
      <w:tr>
        <w:tc>
          <w:tcPr>
            <w:tcW w:type="dxa" w:w="5188"/>
            <w:shd w:fill="F6F1EB"/>
            <w:tcBorders>
              <w:left w:val="single" w:sz="8" w:color="D7C8BA"/>
              <w:top w:val="single" w:sz="8" w:color="D7C8BA"/>
              <w:right w:val="single" w:sz="8" w:color="D7C8BA"/>
              <w:bottom w:val="single" w:sz="8" w:color="D7C8BA"/>
            </w:tcBorders>
          </w:tcPr>
          <w:p>
            <w:pPr>
              <w:spacing w:before="120" w:after="40" w:line="240" w:lineRule="auto"/>
            </w:pPr>
            <w:r>
              <w:rPr>
                <w:rFonts w:ascii="Arial" w:hAnsi="Arial" w:eastAsia="Arial"/>
                <w:b/>
                <w:i w:val="0"/>
                <w:color w:val="5C4033"/>
                <w:sz w:val="36"/>
              </w:rPr>
              <w:t>Customer Support and Systems Portfolio</w:t>
            </w:r>
          </w:p>
          <w:p>
            <w:pPr>
              <w:spacing w:before="0" w:after="60" w:line="240" w:lineRule="auto"/>
            </w:pPr>
            <w:r>
              <w:rPr>
                <w:rFonts w:ascii="Arial" w:hAnsi="Arial" w:eastAsia="Arial"/>
                <w:b/>
                <w:i w:val="0"/>
                <w:color w:val="222222"/>
                <w:sz w:val="23"/>
              </w:rPr>
              <w:t>Kushmi Anuththara Chandrasena</w:t>
            </w:r>
          </w:p>
          <w:p>
            <w:pPr>
              <w:spacing w:before="0" w:after="100" w:line="252" w:lineRule="auto"/>
            </w:pPr>
            <w:r>
              <w:rPr>
                <w:rFonts w:ascii="Arial" w:hAnsi="Arial" w:eastAsia="Arial"/>
                <w:b w:val="0"/>
                <w:i w:val="0"/>
                <w:color w:val="616161"/>
                <w:sz w:val="20"/>
              </w:rPr>
              <w:t>A focused portfolio to support applications for customer care, customer success, ERP, and business systems roles.</w:t>
            </w:r>
          </w:p>
        </w:tc>
        <w:tc>
          <w:tcPr>
            <w:tcW w:type="dxa" w:w="5188"/>
            <w:shd w:fill="5C4033"/>
            <w:tcBorders>
              <w:left w:val="single" w:sz="8" w:color="D7C8BA"/>
              <w:top w:val="single" w:sz="8" w:color="D7C8BA"/>
              <w:right w:val="single" w:sz="8" w:color="D7C8BA"/>
              <w:bottom w:val="single" w:sz="8" w:color="D7C8BA"/>
            </w:tcBorders>
          </w:tcPr>
          <w:p>
            <w:pPr>
              <w:spacing w:before="360" w:after="40" w:line="240" w:lineRule="auto"/>
              <w:jc w:val="center"/>
            </w:pPr>
            <w:r>
              <w:rPr>
                <w:rFonts w:ascii="Arial" w:hAnsi="Arial" w:eastAsia="Arial"/>
                <w:b/>
                <w:i w:val="0"/>
                <w:color w:val="FFFFFF"/>
                <w:sz w:val="22"/>
              </w:rPr>
              <w:t>Global customer support</w:t>
            </w:r>
          </w:p>
          <w:p>
            <w:pPr>
              <w:jc w:val="center"/>
            </w:pPr>
            <w:r>
              <w:rPr>
                <w:rFonts w:ascii="Arial" w:hAnsi="Arial" w:eastAsia="Arial"/>
                <w:b/>
                <w:i w:val="0"/>
                <w:color w:val="FFFFFF"/>
                <w:sz w:val="22"/>
              </w:rPr>
              <w:t>ERP and integrations</w:t>
            </w:r>
          </w:p>
          <w:p>
            <w:pPr>
              <w:jc w:val="center"/>
            </w:pPr>
            <w:r>
              <w:rPr>
                <w:rFonts w:ascii="Arial" w:hAnsi="Arial" w:eastAsia="Arial"/>
                <w:b w:val="0"/>
                <w:i w:val="0"/>
                <w:color w:val="F0F0F0"/>
                <w:sz w:val="20"/>
              </w:rPr>
              <w:t>Reporting and process improvement</w:t>
            </w:r>
          </w:p>
        </w:tc>
      </w:tr>
    </w:tbl>
    <w:p>
      <w:pPr>
        <w:spacing w:before="0" w:after="120" w:line="259" w:lineRule="auto"/>
      </w:pPr>
      <w:r>
        <w:rPr>
          <w:rFonts w:ascii="Arial" w:hAnsi="Arial" w:eastAsia="Arial"/>
          <w:b w:val="0"/>
          <w:i w:val="0"/>
          <w:color w:val="616161"/>
          <w:sz w:val="18"/>
        </w:rPr>
        <w:t>Important note: Only include customer names if they are public, approved, or already visible in your own public profile. Otherwise use confidential labels such as Retail Brand A or APAC E-commerce Client.</w:t>
      </w:r>
    </w:p>
    <w:p>
      <w:pPr>
        <w:spacing w:before="200" w:after="80" w:line="240" w:lineRule="auto"/>
        <w:pBdr>
          <w:bottom w:val="single" w:sz="8" w:space="1" w:color="D8C9BA"/>
        </w:pBdr>
      </w:pPr>
      <w:r>
        <w:rPr>
          <w:rFonts w:ascii="Arial" w:hAnsi="Arial" w:eastAsia="Arial"/>
          <w:b/>
          <w:i w:val="0"/>
          <w:color w:val="5C4033"/>
          <w:sz w:val="22"/>
        </w:rPr>
        <w:t>PROFESSIONAL PROFILE</w:t>
      </w:r>
    </w:p>
    <w:p>
      <w:pPr>
        <w:spacing w:before="0" w:after="120" w:line="259" w:lineRule="auto"/>
      </w:pPr>
      <w:r>
        <w:rPr>
          <w:rFonts w:ascii="Arial" w:hAnsi="Arial" w:eastAsia="Arial"/>
          <w:b w:val="0"/>
          <w:i w:val="0"/>
          <w:color w:val="222222"/>
          <w:sz w:val="20"/>
        </w:rPr>
        <w:t>I have worked across ERP implementation, customer support, e-commerce operations, analytics, and reporting with experience supporting international customers across EU, US, and APAC. My strengths include onboarding, technical issue investigation, cross-system troubleshooting, documentation, reporting, training, and helping customers get value from the platforms they use every day. This portfolio is designed to complement my CV with concise examples of customer environments, support challenges, and operational outcomes.</w:t>
      </w:r>
    </w:p>
    <w:p>
      <w:pPr>
        <w:spacing w:before="200" w:after="80" w:line="240" w:lineRule="auto"/>
        <w:pBdr>
          <w:bottom w:val="single" w:sz="8" w:space="1" w:color="D8C9BA"/>
        </w:pBdr>
      </w:pPr>
      <w:r>
        <w:rPr>
          <w:rFonts w:ascii="Arial" w:hAnsi="Arial" w:eastAsia="Arial"/>
          <w:b/>
          <w:i w:val="0"/>
          <w:color w:val="5C4033"/>
          <w:sz w:val="22"/>
        </w:rPr>
        <w:t>CAPABILITY SNAPSHOT</w:t>
      </w:r>
    </w:p>
    <w:tbl>
      <w:tblPr>
        <w:tblW w:type="auto" w:w="0"/>
        <w:jc w:val="center"/>
        <w:tblLayout w:type="fixed"/>
        <w:tblLook w:firstColumn="1" w:firstRow="1" w:lastColumn="0" w:lastRow="0" w:noHBand="0" w:noVBand="1" w:val="04A0"/>
      </w:tblPr>
      <w:tblGrid>
        <w:gridCol w:w="5188"/>
        <w:gridCol w:w="5188"/>
      </w:tblGrid>
      <w:tr>
        <w:tc>
          <w:tcPr>
            <w:tcW w:type="dxa" w:w="2891"/>
            <w:shd w:fill="F6F1EB"/>
            <w:vAlign w:val="center"/>
            <w:tcBorders>
              <w:left w:val="single" w:sz="6" w:color="E7DDD2"/>
              <w:top w:val="single" w:sz="6" w:color="E7DDD2"/>
              <w:right w:val="single" w:sz="6" w:color="E7DDD2"/>
              <w:bottom w:val="single" w:sz="6" w:color="E7DDD2"/>
            </w:tcBorders>
          </w:tcPr>
          <w:p>
            <w:pPr>
              <w:spacing w:before="40" w:after="40" w:line="240" w:lineRule="auto"/>
            </w:pPr>
            <w:r>
              <w:rPr>
                <w:rFonts w:ascii="Arial" w:hAnsi="Arial" w:eastAsia="Arial"/>
                <w:b/>
                <w:i w:val="0"/>
                <w:color w:val="5C4033"/>
                <w:sz w:val="19"/>
              </w:rPr>
              <w:t>ERP and business systems</w:t>
            </w:r>
          </w:p>
        </w:tc>
        <w:tc>
          <w:tcPr>
            <w:tcW w:type="dxa" w:w="6973"/>
            <w:vAlign w:val="center"/>
            <w:tcBorders>
              <w:left w:val="single" w:sz="6" w:color="E7DDD2"/>
              <w:top w:val="single" w:sz="6" w:color="E7DDD2"/>
              <w:right w:val="single" w:sz="6" w:color="E7DDD2"/>
              <w:bottom w:val="single" w:sz="6" w:color="E7DDD2"/>
            </w:tcBorders>
          </w:tcPr>
          <w:p>
            <w:pPr>
              <w:spacing w:before="40" w:after="40" w:line="247" w:lineRule="auto"/>
            </w:pPr>
            <w:r>
              <w:rPr>
                <w:rFonts w:ascii="Arial" w:hAnsi="Arial" w:eastAsia="Arial"/>
                <w:b w:val="0"/>
                <w:i w:val="0"/>
                <w:color w:val="222222"/>
                <w:sz w:val="19"/>
              </w:rPr>
              <w:t>Cin7 Core, Odoo, SAP, NetSuite knowledge</w:t>
            </w:r>
          </w:p>
        </w:tc>
      </w:tr>
      <w:tr>
        <w:tc>
          <w:tcPr>
            <w:tcW w:type="dxa" w:w="2891"/>
            <w:shd w:fill="F6F1EB"/>
            <w:vAlign w:val="center"/>
            <w:tcBorders>
              <w:left w:val="single" w:sz="6" w:color="E7DDD2"/>
              <w:top w:val="single" w:sz="6" w:color="E7DDD2"/>
              <w:right w:val="single" w:sz="6" w:color="E7DDD2"/>
              <w:bottom w:val="single" w:sz="6" w:color="E7DDD2"/>
            </w:tcBorders>
          </w:tcPr>
          <w:p>
            <w:pPr>
              <w:spacing w:before="40" w:after="40" w:line="240" w:lineRule="auto"/>
            </w:pPr>
            <w:r>
              <w:rPr>
                <w:rFonts w:ascii="Arial" w:hAnsi="Arial" w:eastAsia="Arial"/>
                <w:b/>
                <w:i w:val="0"/>
                <w:color w:val="5C4033"/>
                <w:sz w:val="19"/>
              </w:rPr>
              <w:t>Commerce and integrations</w:t>
            </w:r>
          </w:p>
        </w:tc>
        <w:tc>
          <w:tcPr>
            <w:tcW w:type="dxa" w:w="6973"/>
            <w:vAlign w:val="center"/>
            <w:tcBorders>
              <w:left w:val="single" w:sz="6" w:color="E7DDD2"/>
              <w:top w:val="single" w:sz="6" w:color="E7DDD2"/>
              <w:right w:val="single" w:sz="6" w:color="E7DDD2"/>
              <w:bottom w:val="single" w:sz="6" w:color="E7DDD2"/>
            </w:tcBorders>
          </w:tcPr>
          <w:p>
            <w:pPr>
              <w:spacing w:before="40" w:after="40" w:line="247" w:lineRule="auto"/>
            </w:pPr>
            <w:r>
              <w:rPr>
                <w:rFonts w:ascii="Arial" w:hAnsi="Arial" w:eastAsia="Arial"/>
                <w:b w:val="0"/>
                <w:i w:val="0"/>
                <w:color w:val="222222"/>
                <w:sz w:val="19"/>
              </w:rPr>
              <w:t>Shopify, Amazon, Xero, POS, and payment integrations</w:t>
            </w:r>
          </w:p>
        </w:tc>
      </w:tr>
      <w:tr>
        <w:tc>
          <w:tcPr>
            <w:tcW w:type="dxa" w:w="2891"/>
            <w:shd w:fill="F6F1EB"/>
            <w:vAlign w:val="center"/>
            <w:tcBorders>
              <w:left w:val="single" w:sz="6" w:color="E7DDD2"/>
              <w:top w:val="single" w:sz="6" w:color="E7DDD2"/>
              <w:right w:val="single" w:sz="6" w:color="E7DDD2"/>
              <w:bottom w:val="single" w:sz="6" w:color="E7DDD2"/>
            </w:tcBorders>
          </w:tcPr>
          <w:p>
            <w:pPr>
              <w:spacing w:before="40" w:after="40" w:line="240" w:lineRule="auto"/>
            </w:pPr>
            <w:r>
              <w:rPr>
                <w:rFonts w:ascii="Arial" w:hAnsi="Arial" w:eastAsia="Arial"/>
                <w:b/>
                <w:i w:val="0"/>
                <w:color w:val="5C4033"/>
                <w:sz w:val="19"/>
              </w:rPr>
              <w:t>Reporting and analytics</w:t>
            </w:r>
          </w:p>
        </w:tc>
        <w:tc>
          <w:tcPr>
            <w:tcW w:type="dxa" w:w="6973"/>
            <w:vAlign w:val="center"/>
            <w:tcBorders>
              <w:left w:val="single" w:sz="6" w:color="E7DDD2"/>
              <w:top w:val="single" w:sz="6" w:color="E7DDD2"/>
              <w:right w:val="single" w:sz="6" w:color="E7DDD2"/>
              <w:bottom w:val="single" w:sz="6" w:color="E7DDD2"/>
            </w:tcBorders>
          </w:tcPr>
          <w:p>
            <w:pPr>
              <w:spacing w:before="40" w:after="40" w:line="247" w:lineRule="auto"/>
            </w:pPr>
            <w:r>
              <w:rPr>
                <w:rFonts w:ascii="Arial" w:hAnsi="Arial" w:eastAsia="Arial"/>
                <w:b w:val="0"/>
                <w:i w:val="0"/>
                <w:color w:val="222222"/>
                <w:sz w:val="19"/>
              </w:rPr>
              <w:t>Excel, Power BI, SQL, Databricks, and Azure Data Factory</w:t>
            </w:r>
          </w:p>
        </w:tc>
      </w:tr>
      <w:tr>
        <w:tc>
          <w:tcPr>
            <w:tcW w:type="dxa" w:w="2891"/>
            <w:shd w:fill="F6F1EB"/>
            <w:vAlign w:val="center"/>
            <w:tcBorders>
              <w:left w:val="single" w:sz="6" w:color="E7DDD2"/>
              <w:top w:val="single" w:sz="6" w:color="E7DDD2"/>
              <w:right w:val="single" w:sz="6" w:color="E7DDD2"/>
              <w:bottom w:val="single" w:sz="6" w:color="E7DDD2"/>
            </w:tcBorders>
          </w:tcPr>
          <w:p>
            <w:pPr>
              <w:spacing w:before="40" w:after="40" w:line="240" w:lineRule="auto"/>
            </w:pPr>
            <w:r>
              <w:rPr>
                <w:rFonts w:ascii="Arial" w:hAnsi="Arial" w:eastAsia="Arial"/>
                <w:b/>
                <w:i w:val="0"/>
                <w:color w:val="5C4033"/>
                <w:sz w:val="19"/>
              </w:rPr>
              <w:t>Customer work context</w:t>
            </w:r>
          </w:p>
        </w:tc>
        <w:tc>
          <w:tcPr>
            <w:tcW w:type="dxa" w:w="6973"/>
            <w:vAlign w:val="center"/>
            <w:tcBorders>
              <w:left w:val="single" w:sz="6" w:color="E7DDD2"/>
              <w:top w:val="single" w:sz="6" w:color="E7DDD2"/>
              <w:right w:val="single" w:sz="6" w:color="E7DDD2"/>
              <w:bottom w:val="single" w:sz="6" w:color="E7DDD2"/>
            </w:tcBorders>
          </w:tcPr>
          <w:p>
            <w:pPr>
              <w:spacing w:before="40" w:after="40" w:line="247" w:lineRule="auto"/>
            </w:pPr>
            <w:r>
              <w:rPr>
                <w:rFonts w:ascii="Arial" w:hAnsi="Arial" w:eastAsia="Arial"/>
                <w:b w:val="0"/>
                <w:i w:val="0"/>
                <w:color w:val="222222"/>
                <w:sz w:val="19"/>
              </w:rPr>
              <w:t>Onboarding, post go-live support, training, documentation, issue triage, and workflow improvement</w:t>
            </w:r>
          </w:p>
        </w:tc>
      </w:tr>
    </w:tbl>
    <w:p>
      <w:pPr>
        <w:spacing w:before="200" w:after="80" w:line="240" w:lineRule="auto"/>
        <w:pBdr>
          <w:bottom w:val="single" w:sz="8" w:space="1" w:color="D8C9BA"/>
        </w:pBdr>
      </w:pPr>
      <w:r>
        <w:rPr>
          <w:rFonts w:ascii="Arial" w:hAnsi="Arial" w:eastAsia="Arial"/>
          <w:b/>
          <w:i w:val="0"/>
          <w:color w:val="5C4033"/>
          <w:sz w:val="22"/>
        </w:rPr>
        <w:t>SELECTED PROOF POINTS</w:t>
      </w:r>
    </w:p>
    <w:p>
      <w:pPr>
        <w:spacing w:before="0" w:after="0" w:line="247" w:lineRule="auto"/>
        <w:ind w:left="317" w:hanging="259"/>
      </w:pPr>
      <w:r>
        <w:rPr>
          <w:rFonts w:ascii="Arial" w:hAnsi="Arial" w:eastAsia="Arial"/>
          <w:b w:val="0"/>
          <w:i w:val="0"/>
          <w:color w:val="222222"/>
          <w:sz w:val="19"/>
        </w:rPr>
        <w:t>- Supported 50+ retail and e-commerce customers across EU, US, and APAC in customer-facing ERP environments.</w:t>
      </w:r>
    </w:p>
    <w:p>
      <w:pPr>
        <w:spacing w:before="0" w:after="0" w:line="247" w:lineRule="auto"/>
        <w:ind w:left="317" w:hanging="259"/>
      </w:pPr>
      <w:r>
        <w:rPr>
          <w:rFonts w:ascii="Arial" w:hAnsi="Arial" w:eastAsia="Arial"/>
          <w:b w:val="0"/>
          <w:i w:val="0"/>
          <w:color w:val="222222"/>
          <w:sz w:val="19"/>
        </w:rPr>
        <w:t>- Delivered onboarding, training, go-live support, documentation, issue investigation, and integration troubleshooting.</w:t>
      </w:r>
    </w:p>
    <w:p>
      <w:pPr>
        <w:spacing w:before="0" w:after="0" w:line="247" w:lineRule="auto"/>
        <w:ind w:left="317" w:hanging="259"/>
      </w:pPr>
      <w:r>
        <w:rPr>
          <w:rFonts w:ascii="Arial" w:hAnsi="Arial" w:eastAsia="Arial"/>
          <w:b w:val="0"/>
          <w:i w:val="0"/>
          <w:color w:val="222222"/>
          <w:sz w:val="19"/>
        </w:rPr>
        <w:t>- Reduced manual errors by 25 to 30 percent by strengthening documentation, validation steps, and workflow structure.</w:t>
      </w:r>
    </w:p>
    <w:p>
      <w:pPr>
        <w:spacing w:before="0" w:after="0" w:line="247" w:lineRule="auto"/>
        <w:ind w:left="317" w:hanging="259"/>
      </w:pPr>
      <w:r>
        <w:rPr>
          <w:rFonts w:ascii="Arial" w:hAnsi="Arial" w:eastAsia="Arial"/>
          <w:b w:val="0"/>
          <w:i w:val="0"/>
          <w:color w:val="222222"/>
          <w:sz w:val="19"/>
        </w:rPr>
        <w:t>- Completed a six-month Swedish internship in business intelligence and reporting during full-time MSc studies.</w:t>
      </w:r>
    </w:p>
    <w:p>
      <w:pPr>
        <w:spacing w:before="0" w:after="0" w:line="247" w:lineRule="auto"/>
        <w:ind w:left="317" w:hanging="259"/>
      </w:pPr>
      <w:r>
        <w:rPr>
          <w:rFonts w:ascii="Arial" w:hAnsi="Arial" w:eastAsia="Arial"/>
          <w:b w:val="0"/>
          <w:i w:val="0"/>
          <w:color w:val="222222"/>
          <w:sz w:val="19"/>
        </w:rPr>
        <w:t>- Built reporting outputs in Excel and Power BI and worked with SQL, Databricks, and Azure Data Factory.</w:t>
      </w:r>
    </w:p>
    <w:p>
      <w:pPr>
        <w:spacing w:before="200" w:after="80" w:line="240" w:lineRule="auto"/>
        <w:pBdr>
          <w:bottom w:val="single" w:sz="8" w:space="1" w:color="D8C9BA"/>
        </w:pBdr>
      </w:pPr>
      <w:r>
        <w:rPr>
          <w:rFonts w:ascii="Arial" w:hAnsi="Arial" w:eastAsia="Arial"/>
          <w:b/>
          <w:i w:val="0"/>
          <w:color w:val="5C4033"/>
          <w:sz w:val="22"/>
        </w:rPr>
        <w:t>SELECTED CASE HIGHLIGHTS</w:t>
      </w:r>
    </w:p>
    <w:tbl>
      <w:tblPr>
        <w:tblW w:type="auto" w:w="0"/>
        <w:jc w:val="center"/>
        <w:tblLook w:firstColumn="1" w:firstRow="1" w:lastColumn="0" w:lastRow="0" w:noHBand="0" w:noVBand="1" w:val="04A0"/>
      </w:tblPr>
      <w:tblGrid>
        <w:gridCol w:w="10376"/>
      </w:tblGrid>
      <w:tr>
        <w:tc>
          <w:tcPr>
            <w:tcW w:type="dxa" w:w="10376"/>
            <w:tcBorders>
              <w:left w:val="single" w:sz="6" w:color="DCCFC3"/>
              <w:top w:val="single" w:sz="6" w:color="DCCFC3"/>
              <w:right w:val="single" w:sz="6" w:color="DCCFC3"/>
              <w:bottom w:val="single" w:sz="6" w:color="DCCFC3"/>
            </w:tcBorders>
            <w:shd w:fill="FFFDFC"/>
          </w:tcPr>
          <w:p>
            <w:pPr>
              <w:spacing w:before="40" w:after="20" w:line="240" w:lineRule="auto"/>
            </w:pPr>
            <w:r>
              <w:rPr>
                <w:rFonts w:ascii="Arial" w:hAnsi="Arial" w:eastAsia="Arial"/>
                <w:b/>
                <w:i w:val="0"/>
                <w:color w:val="5C4033"/>
                <w:sz w:val="22"/>
              </w:rPr>
              <w:t>Retail and e-commerce customer onboarding</w:t>
            </w:r>
          </w:p>
          <w:p>
            <w:pPr>
              <w:spacing w:before="0" w:after="0" w:line="247" w:lineRule="auto"/>
            </w:pPr>
            <w:r>
              <w:rPr>
                <w:rFonts w:ascii="Arial" w:hAnsi="Arial" w:eastAsia="Arial"/>
                <w:b/>
                <w:i w:val="0"/>
                <w:color w:val="222222"/>
                <w:sz w:val="19"/>
              </w:rPr>
              <w:t xml:space="preserve">Customer context: </w:t>
            </w:r>
            <w:r>
              <w:rPr>
                <w:rFonts w:ascii="Arial" w:hAnsi="Arial" w:eastAsia="Arial"/>
                <w:b w:val="0"/>
                <w:i w:val="0"/>
                <w:color w:val="222222"/>
                <w:sz w:val="19"/>
              </w:rPr>
              <w:t>Confidential retail and e-commerce customers across EU, US, and APAC.</w:t>
            </w:r>
          </w:p>
          <w:p>
            <w:pPr>
              <w:spacing w:before="0" w:after="0" w:line="247" w:lineRule="auto"/>
            </w:pPr>
            <w:r>
              <w:rPr>
                <w:rFonts w:ascii="Arial" w:hAnsi="Arial" w:eastAsia="Arial"/>
                <w:b/>
                <w:i w:val="0"/>
                <w:color w:val="222222"/>
                <w:sz w:val="19"/>
              </w:rPr>
              <w:t xml:space="preserve">Challenge: </w:t>
            </w:r>
            <w:r>
              <w:rPr>
                <w:rFonts w:ascii="Arial" w:hAnsi="Arial" w:eastAsia="Arial"/>
                <w:b w:val="0"/>
                <w:i w:val="0"/>
                <w:color w:val="222222"/>
                <w:sz w:val="19"/>
              </w:rPr>
              <w:t>Customers needed guidance during onboarding and go-live while managing sales, inventory, and finance workflows across multiple systems.</w:t>
            </w:r>
          </w:p>
          <w:p>
            <w:pPr>
              <w:spacing w:before="0" w:after="0" w:line="247" w:lineRule="auto"/>
            </w:pPr>
            <w:r>
              <w:rPr>
                <w:rFonts w:ascii="Arial" w:hAnsi="Arial" w:eastAsia="Arial"/>
                <w:b/>
                <w:i w:val="0"/>
                <w:color w:val="222222"/>
                <w:sz w:val="19"/>
              </w:rPr>
              <w:t xml:space="preserve">What I did: </w:t>
            </w:r>
            <w:r>
              <w:rPr>
                <w:rFonts w:ascii="Arial" w:hAnsi="Arial" w:eastAsia="Arial"/>
                <w:b w:val="0"/>
                <w:i w:val="0"/>
                <w:color w:val="222222"/>
                <w:sz w:val="19"/>
              </w:rPr>
              <w:t>Supported setup, validated data, guided users, documented workflows, and responded to post go-live questions and issues.</w:t>
            </w:r>
          </w:p>
          <w:p>
            <w:pPr>
              <w:spacing w:before="0" w:after="0" w:line="247" w:lineRule="auto"/>
            </w:pPr>
            <w:r>
              <w:rPr>
                <w:rFonts w:ascii="Arial" w:hAnsi="Arial" w:eastAsia="Arial"/>
                <w:b/>
                <w:i w:val="0"/>
                <w:color w:val="222222"/>
                <w:sz w:val="19"/>
              </w:rPr>
              <w:t xml:space="preserve">Outcome: </w:t>
            </w:r>
            <w:r>
              <w:rPr>
                <w:rFonts w:ascii="Arial" w:hAnsi="Arial" w:eastAsia="Arial"/>
                <w:b w:val="0"/>
                <w:i w:val="0"/>
                <w:color w:val="222222"/>
                <w:sz w:val="19"/>
              </w:rPr>
              <w:t>Helped customers adopt the platform more smoothly and reduced confusion through structured support and clear documentation.</w:t>
            </w:r>
          </w:p>
        </w:tc>
      </w:tr>
    </w:tbl>
    <w:p/>
    <w:tbl>
      <w:tblPr>
        <w:tblW w:type="auto" w:w="0"/>
        <w:jc w:val="center"/>
        <w:tblLook w:firstColumn="1" w:firstRow="1" w:lastColumn="0" w:lastRow="0" w:noHBand="0" w:noVBand="1" w:val="04A0"/>
      </w:tblPr>
      <w:tblGrid>
        <w:gridCol w:w="10376"/>
      </w:tblGrid>
      <w:tr>
        <w:tc>
          <w:tcPr>
            <w:tcW w:type="dxa" w:w="10376"/>
            <w:tcBorders>
              <w:left w:val="single" w:sz="6" w:color="DCCFC3"/>
              <w:top w:val="single" w:sz="6" w:color="DCCFC3"/>
              <w:right w:val="single" w:sz="6" w:color="DCCFC3"/>
              <w:bottom w:val="single" w:sz="6" w:color="DCCFC3"/>
            </w:tcBorders>
            <w:shd w:fill="FFFDFC"/>
          </w:tcPr>
          <w:p>
            <w:pPr>
              <w:spacing w:before="40" w:after="20" w:line="240" w:lineRule="auto"/>
            </w:pPr>
            <w:r>
              <w:rPr>
                <w:rFonts w:ascii="Arial" w:hAnsi="Arial" w:eastAsia="Arial"/>
                <w:b/>
                <w:i w:val="0"/>
                <w:color w:val="5C4033"/>
                <w:sz w:val="22"/>
              </w:rPr>
              <w:t>Cross-system integration issue resolution</w:t>
            </w:r>
          </w:p>
          <w:p>
            <w:pPr>
              <w:spacing w:before="0" w:after="0" w:line="247" w:lineRule="auto"/>
            </w:pPr>
            <w:r>
              <w:rPr>
                <w:rFonts w:ascii="Arial" w:hAnsi="Arial" w:eastAsia="Arial"/>
                <w:b/>
                <w:i w:val="0"/>
                <w:color w:val="222222"/>
                <w:sz w:val="19"/>
              </w:rPr>
              <w:t xml:space="preserve">Customer context: </w:t>
            </w:r>
            <w:r>
              <w:rPr>
                <w:rFonts w:ascii="Arial" w:hAnsi="Arial" w:eastAsia="Arial"/>
                <w:b w:val="0"/>
                <w:i w:val="0"/>
                <w:color w:val="222222"/>
                <w:sz w:val="19"/>
              </w:rPr>
              <w:t>Confidential environments using Shopify, Amazon, Xero, POS, and payment systems.</w:t>
            </w:r>
          </w:p>
          <w:p>
            <w:pPr>
              <w:spacing w:before="0" w:after="0" w:line="247" w:lineRule="auto"/>
            </w:pPr>
            <w:r>
              <w:rPr>
                <w:rFonts w:ascii="Arial" w:hAnsi="Arial" w:eastAsia="Arial"/>
                <w:b/>
                <w:i w:val="0"/>
                <w:color w:val="222222"/>
                <w:sz w:val="19"/>
              </w:rPr>
              <w:t xml:space="preserve">Challenge: </w:t>
            </w:r>
            <w:r>
              <w:rPr>
                <w:rFonts w:ascii="Arial" w:hAnsi="Arial" w:eastAsia="Arial"/>
                <w:b w:val="0"/>
                <w:i w:val="0"/>
                <w:color w:val="222222"/>
                <w:sz w:val="19"/>
              </w:rPr>
              <w:t>Orders, stock, or finance data did not sync correctly between connected systems, causing operational interruptions.</w:t>
            </w:r>
          </w:p>
          <w:p>
            <w:pPr>
              <w:spacing w:before="0" w:after="0" w:line="247" w:lineRule="auto"/>
            </w:pPr>
            <w:r>
              <w:rPr>
                <w:rFonts w:ascii="Arial" w:hAnsi="Arial" w:eastAsia="Arial"/>
                <w:b/>
                <w:i w:val="0"/>
                <w:color w:val="222222"/>
                <w:sz w:val="19"/>
              </w:rPr>
              <w:t xml:space="preserve">What I did: </w:t>
            </w:r>
            <w:r>
              <w:rPr>
                <w:rFonts w:ascii="Arial" w:hAnsi="Arial" w:eastAsia="Arial"/>
                <w:b w:val="0"/>
                <w:i w:val="0"/>
                <w:color w:val="222222"/>
                <w:sz w:val="19"/>
              </w:rPr>
              <w:t>Investigated logs, reviewed records, checked reconciliations, and worked across teams to identify the source of issues and restore data consistency.</w:t>
            </w:r>
          </w:p>
          <w:p>
            <w:pPr>
              <w:spacing w:before="0" w:after="0" w:line="247" w:lineRule="auto"/>
            </w:pPr>
            <w:r>
              <w:rPr>
                <w:rFonts w:ascii="Arial" w:hAnsi="Arial" w:eastAsia="Arial"/>
                <w:b/>
                <w:i w:val="0"/>
                <w:color w:val="222222"/>
                <w:sz w:val="19"/>
              </w:rPr>
              <w:t xml:space="preserve">Outcome: </w:t>
            </w:r>
            <w:r>
              <w:rPr>
                <w:rFonts w:ascii="Arial" w:hAnsi="Arial" w:eastAsia="Arial"/>
                <w:b w:val="0"/>
                <w:i w:val="0"/>
                <w:color w:val="222222"/>
                <w:sz w:val="19"/>
              </w:rPr>
              <w:t>Improved continuity for end users and supported more reliable day-to-day operations.</w:t>
            </w:r>
          </w:p>
        </w:tc>
      </w:tr>
    </w:tbl>
    <w:p/>
    <w:tbl>
      <w:tblPr>
        <w:tblW w:type="auto" w:w="0"/>
        <w:jc w:val="center"/>
        <w:tblLook w:firstColumn="1" w:firstRow="1" w:lastColumn="0" w:lastRow="0" w:noHBand="0" w:noVBand="1" w:val="04A0"/>
      </w:tblPr>
      <w:tblGrid>
        <w:gridCol w:w="10376"/>
      </w:tblGrid>
      <w:tr>
        <w:tc>
          <w:tcPr>
            <w:tcW w:type="dxa" w:w="10376"/>
            <w:tcBorders>
              <w:left w:val="single" w:sz="6" w:color="DCCFC3"/>
              <w:top w:val="single" w:sz="6" w:color="DCCFC3"/>
              <w:right w:val="single" w:sz="6" w:color="DCCFC3"/>
              <w:bottom w:val="single" w:sz="6" w:color="DCCFC3"/>
            </w:tcBorders>
            <w:shd w:fill="FFFDFC"/>
          </w:tcPr>
          <w:p>
            <w:pPr>
              <w:spacing w:before="40" w:after="20" w:line="240" w:lineRule="auto"/>
            </w:pPr>
            <w:r>
              <w:rPr>
                <w:rFonts w:ascii="Arial" w:hAnsi="Arial" w:eastAsia="Arial"/>
                <w:b/>
                <w:i w:val="0"/>
                <w:color w:val="5C4033"/>
                <w:sz w:val="22"/>
              </w:rPr>
              <w:t>ERP support workflow improvement</w:t>
            </w:r>
          </w:p>
          <w:p>
            <w:pPr>
              <w:spacing w:before="0" w:after="0" w:line="247" w:lineRule="auto"/>
            </w:pPr>
            <w:r>
              <w:rPr>
                <w:rFonts w:ascii="Arial" w:hAnsi="Arial" w:eastAsia="Arial"/>
                <w:b/>
                <w:i w:val="0"/>
                <w:color w:val="222222"/>
                <w:sz w:val="19"/>
              </w:rPr>
              <w:t xml:space="preserve">Customer context: </w:t>
            </w:r>
            <w:r>
              <w:rPr>
                <w:rFonts w:ascii="Arial" w:hAnsi="Arial" w:eastAsia="Arial"/>
                <w:b w:val="0"/>
                <w:i w:val="0"/>
                <w:color w:val="222222"/>
                <w:sz w:val="19"/>
              </w:rPr>
              <w:t>WAOConnect customer environments.</w:t>
            </w:r>
          </w:p>
          <w:p>
            <w:pPr>
              <w:spacing w:before="0" w:after="0" w:line="247" w:lineRule="auto"/>
            </w:pPr>
            <w:r>
              <w:rPr>
                <w:rFonts w:ascii="Arial" w:hAnsi="Arial" w:eastAsia="Arial"/>
                <w:b/>
                <w:i w:val="0"/>
                <w:color w:val="222222"/>
                <w:sz w:val="19"/>
              </w:rPr>
              <w:t xml:space="preserve">Challenge: </w:t>
            </w:r>
            <w:r>
              <w:rPr>
                <w:rFonts w:ascii="Arial" w:hAnsi="Arial" w:eastAsia="Arial"/>
                <w:b w:val="0"/>
                <w:i w:val="0"/>
                <w:color w:val="222222"/>
                <w:sz w:val="19"/>
              </w:rPr>
              <w:t>Manual steps and weak validation increased the risk of repeat errors and rework.</w:t>
            </w:r>
          </w:p>
          <w:p>
            <w:pPr>
              <w:spacing w:before="0" w:after="0" w:line="247" w:lineRule="auto"/>
            </w:pPr>
            <w:r>
              <w:rPr>
                <w:rFonts w:ascii="Arial" w:hAnsi="Arial" w:eastAsia="Arial"/>
                <w:b/>
                <w:i w:val="0"/>
                <w:color w:val="222222"/>
                <w:sz w:val="19"/>
              </w:rPr>
              <w:t xml:space="preserve">What I did: </w:t>
            </w:r>
            <w:r>
              <w:rPr>
                <w:rFonts w:ascii="Arial" w:hAnsi="Arial" w:eastAsia="Arial"/>
                <w:b w:val="0"/>
                <w:i w:val="0"/>
                <w:color w:val="222222"/>
                <w:sz w:val="19"/>
              </w:rPr>
              <w:t>Strengthened documentation, improved validation steps, and translated business requirements into more structured workflows.</w:t>
            </w:r>
          </w:p>
          <w:p>
            <w:pPr>
              <w:spacing w:before="0" w:after="0" w:line="247" w:lineRule="auto"/>
            </w:pPr>
            <w:r>
              <w:rPr>
                <w:rFonts w:ascii="Arial" w:hAnsi="Arial" w:eastAsia="Arial"/>
                <w:b/>
                <w:i w:val="0"/>
                <w:color w:val="222222"/>
                <w:sz w:val="19"/>
              </w:rPr>
              <w:t xml:space="preserve">Outcome: </w:t>
            </w:r>
            <w:r>
              <w:rPr>
                <w:rFonts w:ascii="Arial" w:hAnsi="Arial" w:eastAsia="Arial"/>
                <w:b w:val="0"/>
                <w:i w:val="0"/>
                <w:color w:val="222222"/>
                <w:sz w:val="19"/>
              </w:rPr>
              <w:t>Reduced manual errors by 25 to 30 percent and supported more stable delivery.</w:t>
            </w:r>
          </w:p>
        </w:tc>
      </w:tr>
    </w:tbl>
    <w:p/>
    <w:tbl>
      <w:tblPr>
        <w:tblW w:type="auto" w:w="0"/>
        <w:jc w:val="center"/>
        <w:tblLook w:firstColumn="1" w:firstRow="1" w:lastColumn="0" w:lastRow="0" w:noHBand="0" w:noVBand="1" w:val="04A0"/>
      </w:tblPr>
      <w:tblGrid>
        <w:gridCol w:w="10376"/>
      </w:tblGrid>
      <w:tr>
        <w:tc>
          <w:tcPr>
            <w:tcW w:type="dxa" w:w="10376"/>
            <w:tcBorders>
              <w:left w:val="single" w:sz="6" w:color="DCCFC3"/>
              <w:top w:val="single" w:sz="6" w:color="DCCFC3"/>
              <w:right w:val="single" w:sz="6" w:color="DCCFC3"/>
              <w:bottom w:val="single" w:sz="6" w:color="DCCFC3"/>
            </w:tcBorders>
            <w:shd w:fill="FFFDFC"/>
          </w:tcPr>
          <w:p>
            <w:pPr>
              <w:spacing w:before="40" w:after="20" w:line="240" w:lineRule="auto"/>
            </w:pPr>
            <w:r>
              <w:rPr>
                <w:rFonts w:ascii="Arial" w:hAnsi="Arial" w:eastAsia="Arial"/>
                <w:b/>
                <w:i w:val="0"/>
                <w:color w:val="5C4033"/>
                <w:sz w:val="22"/>
              </w:rPr>
              <w:t>Support reporting and operational visibility</w:t>
            </w:r>
          </w:p>
          <w:p>
            <w:pPr>
              <w:spacing w:before="0" w:after="0" w:line="247" w:lineRule="auto"/>
            </w:pPr>
            <w:r>
              <w:rPr>
                <w:rFonts w:ascii="Arial" w:hAnsi="Arial" w:eastAsia="Arial"/>
                <w:b/>
                <w:i w:val="0"/>
                <w:color w:val="222222"/>
                <w:sz w:val="19"/>
              </w:rPr>
              <w:t xml:space="preserve">Customer context: </w:t>
            </w:r>
            <w:r>
              <w:rPr>
                <w:rFonts w:ascii="Arial" w:hAnsi="Arial" w:eastAsia="Arial"/>
                <w:b w:val="0"/>
                <w:i w:val="0"/>
                <w:color w:val="222222"/>
                <w:sz w:val="19"/>
              </w:rPr>
              <w:t>Internal and customer-facing support environments.</w:t>
            </w:r>
          </w:p>
          <w:p>
            <w:pPr>
              <w:spacing w:before="0" w:after="0" w:line="247" w:lineRule="auto"/>
            </w:pPr>
            <w:r>
              <w:rPr>
                <w:rFonts w:ascii="Arial" w:hAnsi="Arial" w:eastAsia="Arial"/>
                <w:b/>
                <w:i w:val="0"/>
                <w:color w:val="222222"/>
                <w:sz w:val="19"/>
              </w:rPr>
              <w:t xml:space="preserve">Challenge: </w:t>
            </w:r>
            <w:r>
              <w:rPr>
                <w:rFonts w:ascii="Arial" w:hAnsi="Arial" w:eastAsia="Arial"/>
                <w:b w:val="0"/>
                <w:i w:val="0"/>
                <w:color w:val="222222"/>
                <w:sz w:val="19"/>
              </w:rPr>
              <w:t>Teams needed clearer visibility into adoption trends, recurring issues, and reporting outputs.</w:t>
            </w:r>
          </w:p>
          <w:p>
            <w:pPr>
              <w:spacing w:before="0" w:after="0" w:line="247" w:lineRule="auto"/>
            </w:pPr>
            <w:r>
              <w:rPr>
                <w:rFonts w:ascii="Arial" w:hAnsi="Arial" w:eastAsia="Arial"/>
                <w:b/>
                <w:i w:val="0"/>
                <w:color w:val="222222"/>
                <w:sz w:val="19"/>
              </w:rPr>
              <w:t xml:space="preserve">What I did: </w:t>
            </w:r>
            <w:r>
              <w:rPr>
                <w:rFonts w:ascii="Arial" w:hAnsi="Arial" w:eastAsia="Arial"/>
                <w:b w:val="0"/>
                <w:i w:val="0"/>
                <w:color w:val="222222"/>
                <w:sz w:val="19"/>
              </w:rPr>
              <w:t>Built and maintained Excel and Power BI reports, validated data, and highlighted recurring support signals for better follow-up and decision-making.</w:t>
            </w:r>
          </w:p>
          <w:p>
            <w:pPr>
              <w:spacing w:before="0" w:after="0" w:line="247" w:lineRule="auto"/>
            </w:pPr>
            <w:r>
              <w:rPr>
                <w:rFonts w:ascii="Arial" w:hAnsi="Arial" w:eastAsia="Arial"/>
                <w:b/>
                <w:i w:val="0"/>
                <w:color w:val="222222"/>
                <w:sz w:val="19"/>
              </w:rPr>
              <w:t xml:space="preserve">Outcome: </w:t>
            </w:r>
            <w:r>
              <w:rPr>
                <w:rFonts w:ascii="Arial" w:hAnsi="Arial" w:eastAsia="Arial"/>
                <w:b w:val="0"/>
                <w:i w:val="0"/>
                <w:color w:val="222222"/>
                <w:sz w:val="19"/>
              </w:rPr>
              <w:t>Improved visibility into patterns and supported better issue follow-up.</w:t>
            </w:r>
          </w:p>
        </w:tc>
      </w:tr>
    </w:tbl>
    <w:p/>
    <w:p>
      <w:pPr>
        <w:spacing w:before="200" w:after="80" w:line="240" w:lineRule="auto"/>
        <w:pBdr>
          <w:bottom w:val="single" w:sz="8" w:space="1" w:color="D8C9BA"/>
        </w:pBdr>
      </w:pPr>
      <w:r>
        <w:rPr>
          <w:rFonts w:ascii="Arial" w:hAnsi="Arial" w:eastAsia="Arial"/>
          <w:b/>
          <w:i w:val="0"/>
          <w:color w:val="5C4033"/>
          <w:sz w:val="22"/>
        </w:rPr>
        <w:t>EXPERIENCE MAP</w:t>
      </w:r>
    </w:p>
    <w:tbl>
      <w:tblPr>
        <w:tblW w:type="auto" w:w="0"/>
        <w:jc w:val="center"/>
        <w:tblLayout w:type="fixed"/>
        <w:tblLook w:firstColumn="1" w:firstRow="1" w:lastColumn="0" w:lastRow="0" w:noHBand="0" w:noVBand="1" w:val="04A0"/>
      </w:tblPr>
      <w:tblGrid>
        <w:gridCol w:w="1701"/>
        <w:gridCol w:w="2665"/>
        <w:gridCol w:w="2494"/>
        <w:gridCol w:w="3402"/>
      </w:tblGrid>
      <w:tr>
        <w:tc>
          <w:tcPr>
            <w:tcW w:type="dxa" w:w="2594"/>
            <w:shd w:fill="F6F1EB"/>
            <w:tcBorders>
              <w:left w:val="single" w:sz="6" w:color="E7DDD2"/>
              <w:top w:val="single" w:sz="6" w:color="E7DDD2"/>
              <w:right w:val="single" w:sz="6" w:color="E7DDD2"/>
              <w:bottom w:val="single" w:sz="6" w:color="E7DDD2"/>
            </w:tcBorders>
          </w:tcPr>
          <w:p>
            <w:pPr>
              <w:spacing w:before="20" w:after="20" w:line="240" w:lineRule="auto"/>
            </w:pPr>
            <w:r>
              <w:rPr>
                <w:rFonts w:ascii="Arial" w:hAnsi="Arial" w:eastAsia="Arial"/>
                <w:b/>
                <w:i w:val="0"/>
                <w:color w:val="5C4033"/>
                <w:sz w:val="18"/>
              </w:rPr>
              <w:t>Period</w:t>
            </w:r>
          </w:p>
        </w:tc>
        <w:tc>
          <w:tcPr>
            <w:tcW w:type="dxa" w:w="2594"/>
            <w:shd w:fill="F6F1EB"/>
            <w:tcBorders>
              <w:left w:val="single" w:sz="6" w:color="E7DDD2"/>
              <w:top w:val="single" w:sz="6" w:color="E7DDD2"/>
              <w:right w:val="single" w:sz="6" w:color="E7DDD2"/>
              <w:bottom w:val="single" w:sz="6" w:color="E7DDD2"/>
            </w:tcBorders>
          </w:tcPr>
          <w:p>
            <w:pPr>
              <w:spacing w:before="20" w:after="20" w:line="240" w:lineRule="auto"/>
            </w:pPr>
            <w:r>
              <w:rPr>
                <w:rFonts w:ascii="Arial" w:hAnsi="Arial" w:eastAsia="Arial"/>
                <w:b/>
                <w:i w:val="0"/>
                <w:color w:val="5C4033"/>
                <w:sz w:val="18"/>
              </w:rPr>
              <w:t>Role</w:t>
            </w:r>
          </w:p>
        </w:tc>
        <w:tc>
          <w:tcPr>
            <w:tcW w:type="dxa" w:w="2594"/>
            <w:shd w:fill="F6F1EB"/>
            <w:tcBorders>
              <w:left w:val="single" w:sz="6" w:color="E7DDD2"/>
              <w:top w:val="single" w:sz="6" w:color="E7DDD2"/>
              <w:right w:val="single" w:sz="6" w:color="E7DDD2"/>
              <w:bottom w:val="single" w:sz="6" w:color="E7DDD2"/>
            </w:tcBorders>
          </w:tcPr>
          <w:p>
            <w:pPr>
              <w:spacing w:before="20" w:after="20" w:line="240" w:lineRule="auto"/>
            </w:pPr>
            <w:r>
              <w:rPr>
                <w:rFonts w:ascii="Arial" w:hAnsi="Arial" w:eastAsia="Arial"/>
                <w:b/>
                <w:i w:val="0"/>
                <w:color w:val="5C4033"/>
                <w:sz w:val="18"/>
              </w:rPr>
              <w:t>Employer</w:t>
            </w:r>
          </w:p>
        </w:tc>
        <w:tc>
          <w:tcPr>
            <w:tcW w:type="dxa" w:w="2594"/>
            <w:shd w:fill="F6F1EB"/>
            <w:tcBorders>
              <w:left w:val="single" w:sz="6" w:color="E7DDD2"/>
              <w:top w:val="single" w:sz="6" w:color="E7DDD2"/>
              <w:right w:val="single" w:sz="6" w:color="E7DDD2"/>
              <w:bottom w:val="single" w:sz="6" w:color="E7DDD2"/>
            </w:tcBorders>
          </w:tcPr>
          <w:p>
            <w:pPr>
              <w:spacing w:before="20" w:after="20" w:line="240" w:lineRule="auto"/>
            </w:pPr>
            <w:r>
              <w:rPr>
                <w:rFonts w:ascii="Arial" w:hAnsi="Arial" w:eastAsia="Arial"/>
                <w:b/>
                <w:i w:val="0"/>
                <w:color w:val="5C4033"/>
                <w:sz w:val="18"/>
              </w:rPr>
              <w:t>Value to customer-facing roles</w:t>
            </w:r>
          </w:p>
        </w:tc>
      </w:tr>
      <w:tr>
        <w:tc>
          <w:tcPr>
            <w:tcW w:type="dxa" w:w="1701"/>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2024-2025</w:t>
            </w:r>
          </w:p>
        </w:tc>
        <w:tc>
          <w:tcPr>
            <w:tcW w:type="dxa" w:w="2665"/>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BI Analyst, Internship</w:t>
            </w:r>
          </w:p>
        </w:tc>
        <w:tc>
          <w:tcPr>
            <w:tcW w:type="dxa" w:w="2494"/>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Sogeti</w:t>
            </w:r>
          </w:p>
        </w:tc>
        <w:tc>
          <w:tcPr>
            <w:tcW w:type="dxa" w:w="3402"/>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Swedish work experience, reporting, QA, stakeholder support</w:t>
            </w:r>
          </w:p>
        </w:tc>
      </w:tr>
      <w:tr>
        <w:tc>
          <w:tcPr>
            <w:tcW w:type="dxa" w:w="1701"/>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2023</w:t>
            </w:r>
          </w:p>
        </w:tc>
        <w:tc>
          <w:tcPr>
            <w:tcW w:type="dxa" w:w="2665"/>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ERP Functional Consultant</w:t>
            </w:r>
          </w:p>
        </w:tc>
        <w:tc>
          <w:tcPr>
            <w:tcW w:type="dxa" w:w="2494"/>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WAOConnect</w:t>
            </w:r>
          </w:p>
        </w:tc>
        <w:tc>
          <w:tcPr>
            <w:tcW w:type="dxa" w:w="3402"/>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Workshops, post go-live support, integrations, process improvement</w:t>
            </w:r>
          </w:p>
        </w:tc>
      </w:tr>
      <w:tr>
        <w:tc>
          <w:tcPr>
            <w:tcW w:type="dxa" w:w="1701"/>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2022</w:t>
            </w:r>
          </w:p>
        </w:tc>
        <w:tc>
          <w:tcPr>
            <w:tcW w:type="dxa" w:w="2665"/>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IT Executive</w:t>
            </w:r>
          </w:p>
        </w:tc>
        <w:tc>
          <w:tcPr>
            <w:tcW w:type="dxa" w:w="2494"/>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SDP Global Services</w:t>
            </w:r>
          </w:p>
        </w:tc>
        <w:tc>
          <w:tcPr>
            <w:tcW w:type="dxa" w:w="3402"/>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Support reporting, troubleshooting, operational issue follow-up</w:t>
            </w:r>
          </w:p>
        </w:tc>
      </w:tr>
      <w:tr>
        <w:tc>
          <w:tcPr>
            <w:tcW w:type="dxa" w:w="1701"/>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2019-2022</w:t>
            </w:r>
          </w:p>
        </w:tc>
        <w:tc>
          <w:tcPr>
            <w:tcW w:type="dxa" w:w="2665"/>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ERP Implementation Specialist</w:t>
            </w:r>
          </w:p>
        </w:tc>
        <w:tc>
          <w:tcPr>
            <w:tcW w:type="dxa" w:w="2494"/>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DEAR Systems / Cin7</w:t>
            </w:r>
          </w:p>
        </w:tc>
        <w:tc>
          <w:tcPr>
            <w:tcW w:type="dxa" w:w="3402"/>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Onboarding, training, go-live support, global customer exposure</w:t>
            </w:r>
          </w:p>
        </w:tc>
      </w:tr>
      <w:tr>
        <w:tc>
          <w:tcPr>
            <w:tcW w:type="dxa" w:w="1701"/>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2018-2019</w:t>
            </w:r>
          </w:p>
        </w:tc>
        <w:tc>
          <w:tcPr>
            <w:tcW w:type="dxa" w:w="2665"/>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SAP Trainee</w:t>
            </w:r>
          </w:p>
        </w:tc>
        <w:tc>
          <w:tcPr>
            <w:tcW w:type="dxa" w:w="2494"/>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Hemas Holdings</w:t>
            </w:r>
          </w:p>
        </w:tc>
        <w:tc>
          <w:tcPr>
            <w:tcW w:type="dxa" w:w="3402"/>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Testing, rollout support, reporting</w:t>
            </w:r>
          </w:p>
        </w:tc>
      </w:tr>
      <w:tr>
        <w:tc>
          <w:tcPr>
            <w:tcW w:type="dxa" w:w="1701"/>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2016-2018</w:t>
            </w:r>
          </w:p>
        </w:tc>
        <w:tc>
          <w:tcPr>
            <w:tcW w:type="dxa" w:w="2665"/>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Junior Data Analyst</w:t>
            </w:r>
          </w:p>
        </w:tc>
        <w:tc>
          <w:tcPr>
            <w:tcW w:type="dxa" w:w="2494"/>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Kims Global Lanka</w:t>
            </w:r>
          </w:p>
        </w:tc>
        <w:tc>
          <w:tcPr>
            <w:tcW w:type="dxa" w:w="3402"/>
            <w:vAlign w:val="center"/>
            <w:tcBorders>
              <w:left w:val="single" w:sz="4" w:color="EEE5DB"/>
              <w:top w:val="single" w:sz="4" w:color="EEE5DB"/>
              <w:right w:val="single" w:sz="4" w:color="EEE5DB"/>
              <w:bottom w:val="single" w:sz="4" w:color="EEE5DB"/>
            </w:tcBorders>
          </w:tcPr>
          <w:p>
            <w:pPr>
              <w:spacing w:before="20" w:after="20" w:line="245" w:lineRule="auto"/>
            </w:pPr>
            <w:r>
              <w:rPr>
                <w:rFonts w:ascii="Arial" w:hAnsi="Arial" w:eastAsia="Arial"/>
                <w:b w:val="0"/>
                <w:i w:val="0"/>
                <w:color w:val="222222"/>
                <w:sz w:val="18"/>
              </w:rPr>
              <w:t>Early reporting and documentation foundation</w:t>
            </w:r>
          </w:p>
        </w:tc>
      </w:tr>
    </w:tbl>
    <w:p>
      <w:pPr>
        <w:spacing w:before="200" w:after="80" w:line="240" w:lineRule="auto"/>
        <w:pBdr>
          <w:bottom w:val="single" w:sz="8" w:space="1" w:color="D8C9BA"/>
        </w:pBdr>
      </w:pPr>
      <w:r>
        <w:rPr>
          <w:rFonts w:ascii="Arial" w:hAnsi="Arial" w:eastAsia="Arial"/>
          <w:b/>
          <w:i w:val="0"/>
          <w:color w:val="5C4033"/>
          <w:sz w:val="22"/>
        </w:rPr>
        <w:t>SELECTED CERTIFICATIONS</w:t>
      </w:r>
    </w:p>
    <w:p>
      <w:pPr>
        <w:spacing w:before="0" w:after="0" w:line="247" w:lineRule="auto"/>
        <w:ind w:left="317" w:hanging="259"/>
      </w:pPr>
      <w:r>
        <w:rPr>
          <w:rFonts w:ascii="Arial" w:hAnsi="Arial" w:eastAsia="Arial"/>
          <w:b w:val="0"/>
          <w:i w:val="0"/>
          <w:color w:val="222222"/>
          <w:sz w:val="19"/>
        </w:rPr>
        <w:t>- Oracle NetSuite Certified Financial Associate, Oracle, Feb 2026</w:t>
      </w:r>
    </w:p>
    <w:p>
      <w:pPr>
        <w:spacing w:before="0" w:after="0" w:line="247" w:lineRule="auto"/>
        <w:ind w:left="317" w:hanging="259"/>
      </w:pPr>
      <w:r>
        <w:rPr>
          <w:rFonts w:ascii="Arial" w:hAnsi="Arial" w:eastAsia="Arial"/>
          <w:b w:val="0"/>
          <w:i w:val="0"/>
          <w:color w:val="222222"/>
          <w:sz w:val="19"/>
        </w:rPr>
        <w:t>- Xero Advisor Certified</w:t>
      </w:r>
    </w:p>
    <w:p>
      <w:pPr>
        <w:spacing w:before="0" w:after="0" w:line="247" w:lineRule="auto"/>
        <w:ind w:left="317" w:hanging="259"/>
      </w:pPr>
      <w:r>
        <w:rPr>
          <w:rFonts w:ascii="Arial" w:hAnsi="Arial" w:eastAsia="Arial"/>
          <w:b w:val="0"/>
          <w:i w:val="0"/>
          <w:color w:val="222222"/>
          <w:sz w:val="19"/>
        </w:rPr>
        <w:t>- Academy Accreditation, Databricks Fundamentals, Apr 2025</w:t>
      </w:r>
    </w:p>
    <w:p>
      <w:pPr>
        <w:spacing w:before="0" w:after="0" w:line="247" w:lineRule="auto"/>
        <w:ind w:left="317" w:hanging="259"/>
      </w:pPr>
      <w:r>
        <w:rPr>
          <w:rFonts w:ascii="Arial" w:hAnsi="Arial" w:eastAsia="Arial"/>
          <w:b w:val="0"/>
          <w:i w:val="0"/>
          <w:color w:val="222222"/>
          <w:sz w:val="19"/>
        </w:rPr>
        <w:t>- Data Analytics Bootcamp, Analyst Builder, Apr 2025</w:t>
      </w:r>
    </w:p>
    <w:p>
      <w:pPr>
        <w:spacing w:before="200" w:after="80" w:line="240" w:lineRule="auto"/>
        <w:pBdr>
          <w:bottom w:val="single" w:sz="8" w:space="1" w:color="D8C9BA"/>
        </w:pBdr>
      </w:pPr>
      <w:r>
        <w:rPr>
          <w:rFonts w:ascii="Arial" w:hAnsi="Arial" w:eastAsia="Arial"/>
          <w:b/>
          <w:i w:val="0"/>
          <w:color w:val="5C4033"/>
          <w:sz w:val="22"/>
        </w:rPr>
        <w:t>WHAT TO ADD LATER</w:t>
      </w:r>
    </w:p>
    <w:p>
      <w:pPr>
        <w:spacing w:before="0" w:after="0" w:line="247" w:lineRule="auto"/>
        <w:ind w:left="317" w:hanging="259"/>
      </w:pPr>
      <w:r>
        <w:rPr>
          <w:rFonts w:ascii="Arial" w:hAnsi="Arial" w:eastAsia="Arial"/>
          <w:b w:val="0"/>
          <w:i w:val="0"/>
          <w:color w:val="222222"/>
          <w:sz w:val="19"/>
        </w:rPr>
        <w:t>- Public customer names only, with permission or when already public.</w:t>
      </w:r>
    </w:p>
    <w:p>
      <w:pPr>
        <w:spacing w:before="0" w:after="0" w:line="247" w:lineRule="auto"/>
        <w:ind w:left="317" w:hanging="259"/>
      </w:pPr>
      <w:r>
        <w:rPr>
          <w:rFonts w:ascii="Arial" w:hAnsi="Arial" w:eastAsia="Arial"/>
          <w:b w:val="0"/>
          <w:i w:val="0"/>
          <w:color w:val="222222"/>
          <w:sz w:val="19"/>
        </w:rPr>
        <w:t>- Short metrics such as onboarding count, training sessions delivered, or issue volume supported.</w:t>
      </w:r>
    </w:p>
    <w:p>
      <w:pPr>
        <w:spacing w:before="0" w:after="0" w:line="247" w:lineRule="auto"/>
        <w:ind w:left="317" w:hanging="259"/>
      </w:pPr>
      <w:r>
        <w:rPr>
          <w:rFonts w:ascii="Arial" w:hAnsi="Arial" w:eastAsia="Arial"/>
          <w:b w:val="0"/>
          <w:i w:val="0"/>
          <w:color w:val="222222"/>
          <w:sz w:val="19"/>
        </w:rPr>
        <w:t>- One screenshot each from a dashboard, process map, or documentation sample with sensitive details removed.</w:t>
      </w:r>
    </w:p>
    <w:p>
      <w:pPr>
        <w:spacing w:before="0" w:after="0" w:line="247" w:lineRule="auto"/>
        <w:ind w:left="317" w:hanging="259"/>
      </w:pPr>
      <w:r>
        <w:rPr>
          <w:rFonts w:ascii="Arial" w:hAnsi="Arial" w:eastAsia="Arial"/>
          <w:b w:val="0"/>
          <w:i w:val="0"/>
          <w:color w:val="222222"/>
          <w:sz w:val="19"/>
        </w:rPr>
        <w:t>- A short testimonial or recommendation if available publicly.</w:t>
      </w:r>
    </w:p>
    <w:sectPr w:rsidR="00FC693F" w:rsidRPr="0006063C" w:rsidSect="00034616">
      <w:pgSz w:w="11906" w:h="16838"/>
      <w:pgMar w:top="680" w:right="765" w:bottom="68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