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pPr/>
      <w:r>
        <w:t>The contract for that fixed template shape is enforced in two non-overlapping layers, both run by tools/template_lint.py:</w:t>
      </w:r>
    </w:p>
    <w:p>
      <w:pPr>
        <w:pStyle w:val="ListBullet"/>
      </w:pPr>
      <w:r>
        <w:t>Structure — schemas/ip_model_template.schema.json is a JSON Schema (validated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 fsm_count matching the actual FSM list, every FSM having a timing entry and appearing in a test scenario, and the arbitration-IP sub-contract. Each rule lives in exactly one layer, so the schema and the linter cannot drift apart.</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The template's numeric timing and queue depths are the declared reference the implementer carries into the model; the linter checks they are internally coherent (a queue's declared capacity is real; an operation's ns equals cycles x cycle_time_ns), but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pStyle w:val="ListBullet"/>
      </w:pPr>
      <w:r>
        <w:t>These paths and the &lt;CamelIp&gt;Model naming are not hardcoded — they come from target_profile.yaml (defaults describe this repo). Repointing that profile lets the same tooling operate on another SimPy codebase without editing tool code; see “Reusing the tooling elsewhere” below.</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305926"/>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305926"/>
                    </a:xfrm>
                    <a:prstGeom prst="rect"/>
                  </pic:spPr>
                </pic:pic>
              </a:graphicData>
            </a:graphic>
          </wp:inline>
        </w:drawing>
      </w:r>
    </w:p>
    <w:p>
      <w:pPr>
        <w:spacing w:after="280"/>
        <w:jc w:val="center"/>
      </w:pPr>
      <w:r>
        <w:rPr>
          <w:i/>
          <w:color w:val="5F6368"/>
          <w:sz w:val="18"/>
        </w:rPr>
        <w:t>Figure 6 — The gate chain behind a green validate_dld_flow.py, plus the repo-wide code style and coverage hard gates.</w:t>
      </w:r>
    </w:p>
    <w:p>
      <w:pPr>
        <w:spacing w:after="160"/>
      </w:pPr>
      <w:r>
        <w:rPr>
          <w:b w:val="0"/>
          <w:i w:val="0"/>
        </w:rP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3207657"/>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3207657"/>
                    </a:xfrm>
                    <a:prstGeom prst="rect"/>
                  </pic:spPr>
                </pic:pic>
              </a:graphicData>
            </a:graphic>
          </wp:inline>
        </w:drawing>
      </w:r>
    </w:p>
    <w:p>
      <w:pPr>
        <w:spacing w:after="280"/>
        <w:jc w:val="center"/>
      </w:pPr>
      <w:r>
        <w:rPr>
          <w:i/>
          <w:color w:val="5F6368"/>
          <w:sz w:val="18"/>
        </w:rPr>
        <w:t>Figure 7 — The change-driven runner: the greenfield/brownfield fork (generate vs. amend), the provenance stamp, and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when validation fails, re-invokes it with the failure log — up to loop_policy.max_iterations from harness/ip_generation_loop.yaml.</w:t>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rPr>
          <w:b/>
        </w:rPr>
        <w:t xml:space="preserve">Greenfield vs. brownfield is automatic: </w:t>
      </w:r>
      <w:r>
        <w:t>the runner snapshots whether the 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pPr/>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pPr/>
      <w:r>
        <w:t>Three pieces make this work, and they reuse what already exists:</w:t>
      </w:r>
    </w:p>
    <w:p>
      <w:pPr>
        <w:pStyle w:val="ListBullet"/>
      </w:pPr>
      <w:r>
        <w:t>tools/diff_template.py computes the structured delta between two 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 committed one (git show HEAD:templates/&lt;ip&gt;.template.yaml), so no separate version store is needed.</w:t>
      </w:r>
    </w:p>
    <w:p>
      <w:pPr>
        <w:pStyle w:val="ListBullet"/>
      </w:pPr>
      <w:r>
        <w:t>tools/check_model_provenance.py records, per IP, the hash of the template each model was last generated or amended against (templates/model_baselines.json, committed). Its check fails when a template has moved on from its recorded baseline — the signal that an amend is due — and --stamp &lt;ip&gt; refreshes it once the model is back in sync. Same provenance discipline as the docx guard, applied to the DLD → template → model chain.</w:t>
      </w:r>
    </w:p>
    <w:p>
      <w:pPr/>
      <w:r>
        <w:t>A real delta for mailbox_ip (message FIFO deepened, an enqueue op re-timed, a scenario added, and a state added to the doorbell FSM) prints as:</w:t>
      </w:r>
    </w:p>
    <w:p>
      <w:pPr/>
      <w:r>
        <w:rPr>
          <w:rFonts w:ascii="Consolas" w:hAnsi="Consolas"/>
          <w:sz w:val="19"/>
        </w:rPr>
        <w:t>4 change(s), overall blast radius: STRUCTURAL</w:t>
        <w:br/>
      </w:r>
      <w:r>
        <w:rPr>
          <w:rFonts w:ascii="Consolas" w:hAnsi="Consolas"/>
          <w:sz w:val="19"/>
        </w:rPr>
        <w:br/>
      </w:r>
      <w:r>
        <w:rPr>
          <w:rFonts w:ascii="Consolas" w:hAnsi="Consolas"/>
          <w:sz w:val="19"/>
        </w:rPr>
        <w:t xml:space="preserve">  [STRUCTURAL] FSM `doorbell` states: +['COALESCE'] -[]</w:t>
        <w:br/>
      </w:r>
      <w:r>
        <w:rPr>
          <w:rFonts w:ascii="Consolas" w:hAnsi="Consolas"/>
          <w:sz w:val="19"/>
        </w:rPr>
        <w:t xml:space="preserve">  [SURGICAL  ] queue `message_fifo`.depth: 8 -&gt; 16</w:t>
        <w:br/>
      </w:r>
      <w:r>
        <w:rPr>
          <w:rFonts w:ascii="Consolas" w:hAnsi="Consolas"/>
          <w:sz w:val="19"/>
        </w:rPr>
        <w:t xml:space="preserve">  [SURGICAL  ] timing op `message_push.enqueue`: 1cyc/2ns -&gt; 2cyc/4ns</w:t>
        <w:br/>
      </w:r>
      <w:r>
        <w:rPr>
          <w:rFonts w:ascii="Consolas" w:hAnsi="Consolas"/>
          <w:sz w:val="19"/>
        </w:rPr>
        <w:t xml:space="preserve">  [SURGICAL  ] test_scenario `fifo_high_watermark_backpressure` added</w:t>
      </w:r>
    </w:p>
    <w:p>
      <w:pPr/>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pPr/>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pPr/>
      <w:r>
        <w:rPr>
          <w:rFonts w:ascii="Consolas" w:hAnsi="Consolas"/>
          <w:sz w:val="19"/>
        </w:rPr>
        <w:t>paths: {model_dir: sim/models, tests_dir: sim/tests, templates_dir: specs}</w:t>
        <w:br/>
      </w:r>
      <w:r>
        <w:rPr>
          <w:rFonts w:ascii="Consolas" w:hAnsi="Consolas"/>
          <w:sz w:val="19"/>
        </w:rPr>
        <w:t>naming: {model_file: "{ip}_model.py", model_class: "Sim{camel}"}</w:t>
      </w:r>
    </w:p>
    <w:p>
      <w:pPr/>
      <w:r>
        <w:t>With that profile, profile.model_file("mailbox_ip") resolves to sim/models/mailbox_ip_model.py and profile.model_class("mailbox_ip") to SimMailboxIp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t>JSON Schema for template structure — enforced by template_lint.py (structure), which also checks the cross-field semantics the schema cannot express.</w:t>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interrupt_output_if.wait_model: wait_for_ack_before_next_request, outstanding_limit: 1, waiting in interrupt_notify.WAIT_SW_CLEAR</w:t>
            </w:r>
          </w:p>
        </w:tc>
        <w:tc>
          <w:tcPr>
            <w:tcW w:type="dxa" w:w="2340"/>
          </w:tcPr>
          <w:p>
            <w:r>
              <w:rPr>
                <w:sz w:val="18"/>
              </w:rPr>
              <w:t>interrupt_notify parks in WAIT_SW_CLEAR after asserting; clear_interrupt() releases it</w:t>
            </w:r>
          </w:p>
        </w:tc>
        <w:tc>
          <w:tcPr>
            <w:tcW w:type="dxa" w:w="2340"/>
          </w:tcPr>
          <w:p>
            <w:r>
              <w:rPr>
                <w:sz w:val="18"/>
              </w:rPr>
              <w:t>test_interrupt_waits_for_software_clear_before_next_assertion</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2026-07-14: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t>Interrupt-delivery cluster composing mailbox_ip (doorbell source) and interrupt_controller_ip (delivery fabric) with a modeled software service loop (ack, read, level deassert, EOI). The bridge acknowledges each mailbox doorbell as it hands the level to the controller, satisfying the mailbox's one-outstanding-interrupt wait model.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The contract is enforced in two non-overlapping layers — the JSON Schema owns structure (validated with jsonschema), the linter owns cross-field semantics — and the template's own timing numbers are checked for coherence.</w:t>
      </w:r>
    </w:p>
    <w:p>
      <w:pPr>
        <w:pStyle w:val="ListBullet"/>
      </w:pPr>
      <w:r>
        <w:t>Editing a DLD amends rather than regenerates: the pipeline picks the 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 model-class naming, so the same tooling can be pointed at another SimPy codebase; migration of the remaining hardcoded paths is incremental.</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sha256=57f6ef86003554b69d9030c6d54df5daefd76deea65bec53cb618ce2c500c7df</dc:description>
  <cp:lastModifiedBy/>
  <cp:revision>1</cp:revision>
  <dcterms:created xsi:type="dcterms:W3CDTF">2013-12-23T23:15:00Z</dcterms:created>
  <dcterms:modified xsi:type="dcterms:W3CDTF">2013-12-23T23:15:00Z</dcterms:modified>
  <cp:category/>
</cp:coreProperties>
</file>