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r>
        <w:t>One of those pauses is a person, not an agent: a normalized DLD needs a human to confirm that its meaning survived the reshaping (see “Normalizing a DLD written in another shape” below). It is one command per IP, and it is the only judgment in the system that is deliberately not automatable.</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552329"/>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552329"/>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pPr/>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pPr/>
      <w:r>
        <w:t>The normalize_dld stage does that reshaping. It rewrites the author's document into the shape the extractor reads, changing structure only — never adding, removing, altering, or even rewording an engineering claim. Two files per IP, so your original is never edited in place: dlds/&lt;ip&gt;_dld.src.md holds your original (a .docx DLD's conversion output lands here), and dlds/&lt;ip&gt;_dld.md is the normalized document the pipeline reads. A DLD already in shape has no .src.md and skips the stage entirely.</w:t>
      </w:r>
    </w:p>
    <w:p>
      <w:pPr/>
      <w:r>
        <w:t>Three properties make this safe to put in front of everything else:</w:t>
      </w:r>
    </w:p>
    <w:p>
      <w:pPr>
        <w:pStyle w:val="ListBullet"/>
      </w:pPr>
      <w:r>
        <w:t>It replaces no existing gate. If a normalization is bad, extraction degrades to TODO_REVIEW and the strict coverage gate refuses promotion — the same failure path a badly-written DLD takes today.</w:t>
      </w:r>
    </w:p>
    <w:p>
      <w:pPr>
        <w:pStyle w:val="ListBullet"/>
      </w:pPr>
      <w:r>
        <w:t>Nothing is lost silently. Content that maps to no convention is copied verbatim into an “Unplaced Source Content” section the extractor ignores, and the gate counts it.</w:t>
      </w:r>
    </w:p>
    <w:p>
      <w:pPr>
        <w:pStyle w:val="ListBullet"/>
      </w:pPr>
      <w:r>
        <w:t>A deterministic gate judges it. check_dld_normalization.py checks measurement and identifier conservation in both directions (a value that appears from nowhere is as suspect as one that vanishes), FSM name, count and per-FSM state parity, wait-model provenance, and unplaced accounting.</w:t>
      </w:r>
    </w:p>
    <w:p>
      <w:pPr/>
      <w:r>
        <w:t>What that gate cannot prove is that the meaning survived — a rewrite could preserve every number while attaching it to the wrong FSM. So that one claim is signed by a person, per IP, exactly the way the model provenance baseline is: python tools\check_dld_normalization.py --stamp &lt;ip&gt;. 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pStyle w:val="ListBullet"/>
      </w:pPr>
      <w:r>
        <w:t>These paths and the &lt;CamelIp&gt;Model naming are not hardcoded — they come from target_profile.yaml (defaults describe this repo). Repointing that profile lets the same tooling operate on another SimPy codebase without editing tool code; see “Reusing the tooling elsewhere” below.</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90726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907264"/>
                    </a:xfrm>
                    <a:prstGeom prst="rect"/>
                  </pic:spPr>
                </pic:pic>
              </a:graphicData>
            </a:graphic>
          </wp:inline>
        </w:drawing>
      </w:r>
    </w:p>
    <w:p>
      <w:pPr>
        <w:spacing w:after="280"/>
        <w:jc w:val="center"/>
      </w:pPr>
      <w:r>
        <w:rPr>
          <w:i/>
          <w:color w:val="5F6368"/>
          <w:sz w:val="18"/>
        </w:rPr>
        <w:t>Figure 6 — The gate chain behind a green validate_dld_flow.py, starting with the normalization fidelity gate for DLDs that needed reshaping, plus the repo-wide code style and coverage hard gates.</w:t>
      </w:r>
    </w:p>
    <w:p>
      <w:pPr>
        <w:spacing w:after="160"/>
      </w:pPr>
      <w:r>
        <w:rPr>
          <w:b w:val="0"/>
          <w:i w:val="0"/>
        </w:rP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pPr/>
      <w:r>
        <w:t>To run every repo-wide gate, not just that chain — style, code coverage, provenance, normalization fidelity and the Word-overview sync as well — run python tools/run_ci.py (about a minute), and python tools/run_ci.py --install-hook once per clone to run it before every push. This is the repo's CI, and it is local by choice: the gate list is read from the harness, and the tool replaces what a hosted runner would give — it checks the declared dependencies are installed, and warns when a dirty working tree means the files checked are not the commits being pushed.</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76588"/>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76588"/>
                    </a:xfrm>
                    <a:prstGeom prst="rect"/>
                  </pic:spPr>
                </pic:pic>
              </a:graphicData>
            </a:graphic>
          </wp:inline>
        </w:drawing>
      </w:r>
    </w:p>
    <w:p>
      <w:pPr>
        <w:spacing w:after="280"/>
        <w:jc w:val="center"/>
      </w:pPr>
      <w:r>
        <w:rPr>
          <w:i/>
          <w:color w:val="5F6368"/>
          <w:sz w:val="18"/>
        </w:rPr>
        <w:t>Figure 7 — The change-driven runner: the optional normalization stage, the greenfield/brownfield fork (generate vs. amend), the provenance stamp, and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Agent steps: The three agent steps (DLD normalization, template review, model implementation) are where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One pause is a human by design: the normalization review stamp is a gate no machine can satisfy, so it sits outside every agent retry loop and reports the IP as awaiting rather than failed.</w:t>
      </w:r>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rPr>
          <w:b/>
        </w:rPr>
        <w:t xml:space="preserve">Greenfield vs. brownfield is automatic: </w:t>
      </w:r>
      <w:r>
        <w:t>the runner snapshots whether the 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pPr/>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pPr/>
      <w:r>
        <w:rPr>
          <w:rFonts w:ascii="Consolas" w:hAnsi="Consolas"/>
          <w:sz w:val="19"/>
        </w:rPr>
        <w:t>paths: {model_dir: sim/models, tests_dir: sim/tests, templates_dir: specs}</w:t>
        <w:br/>
      </w:r>
      <w:r>
        <w:rPr>
          <w:rFonts w:ascii="Consolas" w:hAnsi="Consolas"/>
          <w:sz w:val="19"/>
        </w:rPr>
        <w:t>naming: {model_file: "{ip}_model.py", model_class: "Sim{camel}"}</w:t>
      </w:r>
    </w:p>
    <w:p>
      <w:pPr/>
      <w:r>
        <w:t>With that profile,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interrupt_output_if.wait_model: wait_for_ack_before_next_request, outstanding_limit: 1, waiting in interrupt_notify.WAIT_SW_CLEAR</w:t>
            </w:r>
          </w:p>
        </w:tc>
        <w:tc>
          <w:tcPr>
            <w:tcW w:type="dxa" w:w="2340"/>
          </w:tcPr>
          <w:p>
            <w:r>
              <w:rPr>
                <w:sz w:val="18"/>
              </w:rPr>
              <w:t>interrupt_notify parks in WAIT_SW_CLEAR after asserting; clear_interrupt() releases it</w:t>
            </w:r>
          </w:p>
        </w:tc>
        <w:tc>
          <w:tcPr>
            <w:tcW w:type="dxa" w:w="2340"/>
          </w:tcPr>
          <w:p>
            <w:r>
              <w:rPr>
                <w:sz w:val="18"/>
              </w:rPr>
              <w:t>test_interrupt_waits_for_software_clear_before_next_assertion</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2026-07-28: all gates green — python tools/run_ci.py runs every one of them in about a minute, and the pre-push hook runs it before anything leaves the machine.</w:t>
      </w:r>
    </w:p>
    <w:p>
      <w:pPr>
        <w:pStyle w:val="Heading2"/>
      </w:pPr>
      <w:r>
        <w:t>Modeled IPs (10)</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r>
        <w:tc>
          <w:tcPr>
            <w:tcW w:type="dxa" w:w="4680"/>
          </w:tcPr>
          <w:p>
            <w:r>
              <w:t>sram_ctrl_ip</w:t>
            </w:r>
          </w:p>
        </w:tc>
        <w:tc>
          <w:tcPr>
            <w:tcW w:type="dxa" w:w="4680"/>
          </w:tcPr>
          <w:p>
            <w:r>
              <w:t>Banked on-chip buffer SRAM: request accept and bank decode, round-robin bank scheduling with ECC check and read-modify-write, background ECC scrub. The first IP whose DLD arrived off-shape and was normalized into the pipeline.</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t>Interrupt-delivery cluster composing mailbox_ip (doorbell source) and interrupt_controller_ip (delivery fabric) with a modeled software service loop (ack, read, level deassert, EOI). The bridge acknowledges each mailbox doorbell as it hands the level to the controller, satisfying the mailbox's one-outstanding-interrupt wait model. True level-triggered semantics (EOI re-pends while unserviced messages remain) and duty-cycle interrupt-storm throttling.</w:t>
            </w:r>
          </w:p>
        </w:tc>
      </w:tr>
    </w:tbl>
    <w:p>
      <w:pPr>
        <w:spacing w:after="40"/>
      </w:pPr>
    </w:p>
    <w:p>
      <w:pPr>
        <w:pStyle w:val="Heading2"/>
      </w:pPr>
      <w:r>
        <w:t>Pipeline maturity</w:t>
      </w:r>
    </w:p>
    <w:p>
      <w:pPr>
        <w:pStyle w:val="ListBullet"/>
      </w:pPr>
      <w:r>
        <w:t>sram_ctrl_ip went further: its DLD arrived in another house style, with no FSM or interface the extractor could read, and was normalized into shape before any of the above ran. Both agent stages passed on the first attempt. It is the proof that the pipeline accepts documents as engineers write them, not only documents written to its conventions.</w:t>
      </w:r>
    </w:p>
    <w:p>
      <w:pPr>
        <w:pStyle w:val="ListBullet"/>
      </w:pPr>
      <w:r>
        <w:t>Every gate runs in one command, locally. python tools/run_ci.py runs the 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The contract is enforced in two non-overlapping layers — the JSON Schema owns structure (validated with jsonschema), the linter owns cross-field semantics — and the template's own timing numbers are checked for coherence.</w:t>
      </w:r>
    </w:p>
    <w:p>
      <w:pPr>
        <w:pStyle w:val="ListBullet"/>
      </w:pPr>
      <w:r>
        <w:t>Editing a DLD amends rather than regenerates: the pipeline picks the 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 model-class naming, so the same tooling can be pointed at another SimPy codebase; migration of the remaining hardcoded paths is incremental.</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sha256=d188a3563362dd230aa57741ba361947443a6c98928c800f05b6e100916fd047</dc:description>
  <cp:lastModifiedBy/>
  <cp:revision>1</cp:revision>
  <dcterms:created xsi:type="dcterms:W3CDTF">2013-12-23T23:15:00Z</dcterms:created>
  <dcterms:modified xsi:type="dcterms:W3CDTF">2013-12-23T23:15:00Z</dcterms:modified>
  <cp:category/>
</cp:coreProperties>
</file>