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 xml:space="preserve">The CV-Workbench is a framework to perform reproducible computer vision experiments. Users define experiment steps and store them allowing experiments to easily be reproduced. An experiment management module guides runs image processing operations. Image processing modules run with the specified input images and parameters. Output images and data are stored on completion with experiment results including notes and explanations. Experiments can be shared between CV-Workbench instances installed on different </w:t>
      </w:r>
      <w:proofErr w:type="spellStart"/>
      <w:r>
        <w:t>machines.</w:t>
      </w:r>
      <w:r>
        <w:rPr>
          <w:rFonts w:cs="Arial"/>
          <w:color w:val="222222"/>
          <w:shd w:val="clear" w:color="auto" w:fill="FFFFFF"/>
        </w:rPr>
        <w:t>reproducible</w:t>
      </w:r>
      <w:proofErr w:type="spellEnd"/>
      <w:r>
        <w:rPr>
          <w:rFonts w:cs="Arial"/>
          <w:color w:val="222222"/>
          <w:shd w:val="clear" w:color="auto" w:fill="FFFFFF"/>
        </w:rPr>
        <w:t xml:space="preserve"> way.</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lastRenderedPageBreak/>
        <w:t>Comparison to other image processing systems</w:t>
      </w:r>
    </w:p>
    <w:p>
      <w:r>
        <w:t xml:space="preserve">These are computer vision libraries and interactive systems. This framework was designed to provide an experimental environment using image processing operators that could 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proofErr w:type="spellStart"/>
        <w:r>
          <w:rPr>
            <w:rStyle w:val="Hyperlink"/>
          </w:rPr>
          <w:t>NIP2</w:t>
        </w:r>
        <w:proofErr w:type="spellEnd"/>
      </w:hyperlink>
      <w:r>
        <w:t xml:space="preserve"> is an interactive interface to VIPS.</w:t>
      </w:r>
    </w:p>
    <w:p>
      <w:pPr>
        <w:pStyle w:val="ListParagraph"/>
        <w:numPr>
          <w:ilvl w:val="0"/>
          <w:numId w:val="19"/>
        </w:numPr>
      </w:pPr>
      <w:hyperlink r:id="rId12" w:history="1">
        <w:proofErr w:type="spellStart"/>
        <w:r>
          <w:rPr>
            <w:rStyle w:val="Hyperlink"/>
          </w:rPr>
          <w:t>DIPSlib</w:t>
        </w:r>
        <w:proofErr w:type="spellEnd"/>
      </w:hyperlink>
      <w:r>
        <w:t xml:space="preserve"> is an open source image processing library developed by Delft University of Technology designed to be fast and easy to use. </w:t>
      </w:r>
    </w:p>
    <w:p>
      <w:pPr>
        <w:pStyle w:val="ListParagraph"/>
        <w:numPr>
          <w:ilvl w:val="0"/>
          <w:numId w:val="19"/>
        </w:numPr>
      </w:pPr>
      <w:hyperlink r:id="rId13" w:history="1">
        <w:proofErr w:type="spellStart"/>
        <w:r>
          <w:rPr>
            <w:rStyle w:val="Hyperlink"/>
          </w:rPr>
          <w:t>CVIPTools</w:t>
        </w:r>
        <w:proofErr w:type="spellEnd"/>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4" w:history="1">
        <w:proofErr w:type="spellStart"/>
        <w:r>
          <w:rPr>
            <w:rStyle w:val="Hyperlink"/>
          </w:rPr>
          <w:t>ImageMagick</w:t>
        </w:r>
        <w:proofErr w:type="spellEnd"/>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5"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6" w:history="1">
        <w:r>
          <w:rPr>
            <w:rStyle w:val="Hyperlink"/>
          </w:rPr>
          <w:t>University of Utah</w:t>
        </w:r>
      </w:hyperlink>
      <w:r>
        <w:t xml:space="preserve"> and the </w:t>
      </w:r>
      <w:hyperlink r:id="rId17"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w:t>
      </w:r>
      <w:r>
        <w:lastRenderedPageBreak/>
        <w:t>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in JPEG format. </w:t>
      </w:r>
      <w:proofErr w:type="spellStart"/>
      <w:r>
        <w:t>THe</w:t>
      </w:r>
      <w:proofErr w:type="spellEnd"/>
      <w:r>
        <w:t xml:space="preserve"> </w:t>
      </w:r>
      <w:r>
        <w:t xml:space="preserve">JPEG image file format is defined by the </w:t>
      </w:r>
      <w:hyperlink r:id="rId18" w:history="1">
        <w:r>
          <w:rPr>
            <w:rStyle w:val="Hyperlink"/>
          </w:rPr>
          <w:t>JPEG standard</w:t>
        </w:r>
      </w:hyperlink>
      <w:r>
        <w:t xml:space="preserve">. </w:t>
      </w:r>
      <w:r>
        <w:t xml:space="preserve">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The binary image data files are defined by the workbench and have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lastRenderedPageBreak/>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w:t>
      </w:r>
      <w:proofErr w:type="spellStart"/>
      <w:r>
        <w:t>nbins</w:t>
      </w:r>
      <w:proofErr w:type="spellEnd"/>
      <w:r>
        <w:t>-1:</w:t>
      </w:r>
    </w:p>
    <w:p>
      <w:pPr>
        <w:pStyle w:val="code"/>
        <w:rPr>
          <w:sz w:val="20"/>
          <w:szCs w:val="20"/>
        </w:rPr>
      </w:pPr>
      <w:r>
        <w:rPr>
          <w:sz w:val="20"/>
          <w:szCs w:val="20"/>
        </w:rPr>
        <w:t xml:space="preserve">  </w:t>
      </w:r>
      <w:r>
        <w:rPr>
          <w:i/>
          <w:iCs/>
          <w:sz w:val="20"/>
          <w:szCs w:val="20"/>
        </w:rPr>
        <w:t xml:space="preserve">bin-value </w:t>
      </w:r>
      <w:r>
        <w:rPr>
          <w:sz w:val="20"/>
          <w:szCs w:val="20"/>
        </w:rPr>
        <w:t xml:space="preserve">= </w:t>
      </w:r>
      <w:proofErr w:type="spellStart"/>
      <w:r>
        <w:rPr>
          <w:sz w:val="20"/>
          <w:szCs w:val="20"/>
        </w:rPr>
        <w:t>lower_value</w:t>
      </w:r>
      <w:proofErr w:type="spellEnd"/>
      <w:r>
        <w:rPr>
          <w:sz w:val="20"/>
          <w:szCs w:val="20"/>
        </w:rPr>
        <w:t xml:space="preserve"> + bin no. * (</w:t>
      </w:r>
      <w:proofErr w:type="spellStart"/>
      <w:r>
        <w:rPr>
          <w:sz w:val="20"/>
          <w:szCs w:val="20"/>
        </w:rPr>
        <w:t>upper_value</w:t>
      </w:r>
      <w:proofErr w:type="spellEnd"/>
      <w:r>
        <w:rPr>
          <w:sz w:val="20"/>
          <w:szCs w:val="20"/>
        </w:rPr>
        <w:t xml:space="preserve"> - </w:t>
      </w:r>
      <w:proofErr w:type="spellStart"/>
      <w:r>
        <w:rPr>
          <w:sz w:val="20"/>
          <w:szCs w:val="20"/>
        </w:rPr>
        <w:t>lower_value</w:t>
      </w:r>
      <w:proofErr w:type="spellEnd"/>
      <w:r>
        <w:rPr>
          <w:sz w:val="20"/>
          <w:szCs w:val="20"/>
        </w:rPr>
        <w:t>) / (</w:t>
      </w:r>
      <w:proofErr w:type="spellStart"/>
      <w:r>
        <w:rPr>
          <w:sz w:val="20"/>
          <w:szCs w:val="20"/>
        </w:rPr>
        <w:t>nbins</w:t>
      </w:r>
      <w:proofErr w:type="spellEnd"/>
      <w:r>
        <w:rPr>
          <w:sz w:val="20"/>
          <w:szCs w:val="20"/>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w:t>
      </w:r>
      <w:proofErr w:type="spellStart"/>
      <w:r>
        <w:rPr>
          <w:sz w:val="20"/>
          <w:szCs w:val="20"/>
        </w:rPr>
        <w:t>columns</w:t>
      </w:r>
      <w:r>
        <w:rPr>
          <w:sz w:val="20"/>
          <w:szCs w:val="20"/>
          <w:vertAlign w:val="superscript"/>
        </w:rPr>
        <w:t>2</w:t>
      </w:r>
      <w:proofErr w:type="spellEnd"/>
      <w:r>
        <w:rPr>
          <w:sz w:val="20"/>
          <w:szCs w:val="20"/>
        </w:rPr>
        <w:t>)</w:t>
      </w:r>
    </w:p>
    <w:p>
      <w:pPr>
        <w:pStyle w:val="Normalafterlist"/>
      </w:pPr>
      <w:r>
        <w:lastRenderedPageBreak/>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lastRenderedPageBreak/>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lastRenderedPageBreak/>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lastRenderedPageBreak/>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9" w:history="1">
        <w:r>
          <w:rPr>
            <w:rStyle w:val="Hyperlink"/>
          </w:rPr>
          <w:t>cv-workbench</w:t>
        </w:r>
      </w:hyperlink>
    </w:p>
    <w:p>
      <w:r>
        <w:t>A copy of this document describing that version of the program can be found at:</w:t>
      </w:r>
    </w:p>
    <w:p>
      <w:hyperlink r:id="rId20" w:history="1">
        <w:r>
          <w:rPr>
            <w:rStyle w:val="Hyperlink"/>
          </w:rPr>
          <w:t>cv-</w:t>
        </w:r>
        <w:proofErr w:type="spellStart"/>
        <w:r>
          <w:rPr>
            <w:rStyle w:val="Hyperlink"/>
          </w:rPr>
          <w:t>workbench.docx</w:t>
        </w:r>
        <w:proofErr w:type="spellEnd"/>
      </w:hyperlink>
    </w:p>
    <w:p>
      <w:r>
        <w:t xml:space="preserve">The program can be run under an Intel-based Linux distribution such as </w:t>
      </w:r>
      <w:hyperlink r:id="rId21" w:history="1">
        <w:r>
          <w:rPr>
            <w:rStyle w:val="Hyperlink"/>
          </w:rPr>
          <w:t>Ubuntu</w:t>
        </w:r>
      </w:hyperlink>
      <w:r>
        <w:t xml:space="preserve">. A version of Linux under which the program can be run on Windows 10 that is fairly easy to install uses </w:t>
      </w:r>
      <w:hyperlink r:id="rId22"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lastRenderedPageBreak/>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lastRenderedPageBreak/>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lastRenderedPageBreak/>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lastRenderedPageBreak/>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Hough (rho, theta) counts from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Hough peak lines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 image data and components from input to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 binary images with dilate, erode, open, close, gradient, top hat, or black at morphology transforms.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w:t>
            </w:r>
            <w:r>
              <w:t>s</w:t>
            </w:r>
            <w:r>
              <w:t xml:space="preserve">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lastRenderedPageBreak/>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w:t>
            </w:r>
            <w:r>
              <w:t>value</w:t>
            </w:r>
            <w:r>
              <w:t xml:space="preserv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minimum </w:t>
            </w:r>
            <w:r>
              <w:t>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w:t>
            </w:r>
            <w:r>
              <w:t>ax</w:t>
            </w:r>
            <w:r>
              <w:t>imum pixel value</w:t>
            </w:r>
          </w:p>
        </w:tc>
      </w:tr>
    </w:tbl>
    <w:p>
      <w:pPr>
        <w:pStyle w:val="Heading2"/>
      </w:pPr>
      <w:r>
        <w:t>filter-smooth-average Operator</w:t>
      </w:r>
    </w:p>
    <w:p>
      <w:pPr>
        <w:pStyle w:val="Heading2"/>
      </w:pPr>
      <w:r>
        <w:t>filter-smooth-gaussian Operator</w:t>
      </w:r>
    </w:p>
    <w:p>
      <w:pPr>
        <w:pStyle w:val="Heading2"/>
      </w:pPr>
      <w:r>
        <w:t>filter-smooth-median Operator</w:t>
      </w:r>
    </w:p>
    <w:p>
      <w:pPr>
        <w:pStyle w:val="Heading2"/>
      </w:pPr>
      <w:r>
        <w:t>histogram-</w:t>
      </w:r>
      <w:proofErr w:type="spellStart"/>
      <w:r>
        <w:t>hough</w:t>
      </w:r>
      <w:proofErr w:type="spellEnd"/>
      <w:r>
        <w:t>-create Operator</w:t>
      </w:r>
    </w:p>
    <w:p>
      <w:r>
        <w:t xml:space="preserve">The create </w:t>
      </w:r>
      <w:r>
        <w:t>Hough accumulator</w:t>
      </w:r>
      <w:r>
        <w:t xml:space="preserve"> histogram operator creates a histogram for a</w:t>
      </w:r>
      <w:r>
        <w:t xml:space="preserve"> </w:t>
      </w:r>
      <w:r>
        <w:t>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rPr>
          <w:cantSplit/>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w:t>
            </w:r>
            <w:r>
              <w:rPr>
                <w:b w:val="0"/>
                <w:bCs w:val="0"/>
              </w:rPr>
              <w:t xml:space="preserve"> bin </w:t>
            </w:r>
            <w:r>
              <w:rPr>
                <w:b w:val="0"/>
                <w:bCs w:val="0"/>
              </w:rPr>
              <w:t>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w:t>
            </w:r>
            <w:r>
              <w:rPr>
                <w:b w:val="0"/>
                <w:bCs w:val="0"/>
              </w:rPr>
              <w:t xml:space="preserve"> bin </w:t>
            </w:r>
            <w:r>
              <w:rPr>
                <w:b w:val="0"/>
                <w:bCs w:val="0"/>
              </w:rPr>
              <w:t>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theta_inc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theta_index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pixel_value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proofErr w:type="spellStart"/>
      <w:r>
        <w:t>hough</w:t>
      </w:r>
      <w:proofErr w:type="spellEnd"/>
      <w:r>
        <w:t>-draw-line</w:t>
      </w:r>
      <w:r>
        <w:t>s</w:t>
      </w:r>
      <w:r>
        <w:t xml:space="preserve"> Operator</w:t>
      </w:r>
    </w:p>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theta_inc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pixel_threshold</w:t>
            </w:r>
            <w:proofErr w:type="spellEnd"/>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proofErr w:type="spellStart"/>
            <w:r>
              <w:rPr>
                <w:b w:val="0"/>
                <w:bCs w:val="0"/>
              </w:rPr>
              <w:t>max_peaks</w:t>
            </w:r>
            <w:proofErr w:type="spellEnd"/>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lastRenderedPageBreak/>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in_component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at each pixel position and decides as to what output value to produce. The image may be treated as a binary or as a grayscale image. Compound operations combine more than one operation.</w:t>
      </w:r>
    </w:p>
    <w:tbl>
      <w:tblPr>
        <w:tblStyle w:val="PlainTable1"/>
        <w:tblW w:w="0" w:type="auto"/>
        <w:tblLook w:val="04A0" w:firstRow="1" w:lastRow="0" w:firstColumn="1" w:lastColumn="0" w:noHBand="0" w:noVBand="1"/>
      </w:tblPr>
      <w:tblGrid>
        <w:gridCol w:w="1255"/>
        <w:gridCol w:w="1377"/>
        <w:gridCol w:w="641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mask</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mask</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opening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result of opening the image from the original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Subtract the original image from the result of closing the image</w:t>
            </w:r>
          </w:p>
        </w:tc>
      </w:tr>
    </w:tbl>
    <w:p>
      <w:pPr>
        <w:pStyle w:val="Normalafterlist"/>
      </w:pPr>
      <w:r>
        <w:t>The variables in these operations are as follows.</w:t>
      </w:r>
    </w:p>
    <w:tbl>
      <w:tblPr>
        <w:tblStyle w:val="PlainTable1"/>
        <w:tblW w:w="0" w:type="auto"/>
        <w:tblLook w:val="04A0" w:firstRow="1" w:lastRow="0" w:firstColumn="1" w:lastColumn="0" w:noHBand="0" w:noVBand="1"/>
      </w:tblPr>
      <w:tblGrid>
        <w:gridCol w:w="1650"/>
        <w:gridCol w:w="770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Iterations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times to apply an operation. This applies separately to each operator in a compound operation.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Structuring Element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selected structuring element shape. Shapes supported in the current release are rectangle(height, width), ellipse(height, width), cross(height, width,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Whether the image is treated as binary (thresholded) or grayscale.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623"/>
        <w:gridCol w:w="713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cnfStyle w:val="000000100000" w:firstRow="0" w:lastRow="0" w:firstColumn="0" w:lastColumn="0" w:oddVBand="0" w:evenVBand="0" w:oddHBand="1" w:evenHBand="0" w:firstRowFirstColumn="0" w:firstRowLastColumn="0" w:lastRowFirstColumn="0" w:lastRowLastColumn="0"/>
            </w:pPr>
            <w:r>
              <w:t>Whether to perform the “binary” or “grayscale” operation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mask</w:t>
            </w:r>
          </w:p>
        </w:tc>
        <w:tc>
          <w:tcPr>
            <w:tcW w:w="0" w:type="auto"/>
          </w:tcPr>
          <w:p>
            <w:pPr>
              <w:cnfStyle w:val="000000000000" w:firstRow="0" w:lastRow="0" w:firstColumn="0" w:lastColumn="0" w:oddVBand="0" w:evenVBand="0" w:oddHBand="0" w:evenHBand="0" w:firstRowFirstColumn="0" w:firstRowLastColumn="0" w:lastRowFirstColumn="0" w:lastRowLastColumn="0"/>
            </w:pPr>
            <w:r>
              <w:t>Shape of the structuring element: “rectangle”, “cross”, “ellipse”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100000" w:firstRow="0" w:lastRow="0" w:firstColumn="0" w:lastColumn="0" w:oddVBand="0" w:evenVBand="0" w:oddHBand="1" w:evenHBand="0" w:firstRowFirstColumn="0" w:firstRowLastColumn="0" w:lastRowFirstColumn="0" w:lastRowLastColumn="0"/>
            </w:pPr>
            <w:r>
              <w:t>Cross pixel thickness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000000" w:firstRow="0" w:lastRow="0" w:firstColumn="0" w:lastColumn="0" w:oddVBand="0" w:evenVBand="0" w:oddHBand="0" w:evenHBand="0" w:firstRowFirstColumn="0" w:firstRowLastColumn="0" w:lastRowFirstColumn="0" w:lastRowLastColumn="0"/>
            </w:pPr>
            <w:r>
              <w:t>“erode”, “dilate”, “open”, “close”, “top-hat”, or “back-hat”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w:t>
            </w:r>
          </w:p>
        </w:tc>
        <w:tc>
          <w:tcPr>
            <w:tcW w:w="0" w:type="auto"/>
          </w:tcPr>
          <w:p>
            <w:pPr>
              <w:cnfStyle w:val="000000100000" w:firstRow="0" w:lastRow="0" w:firstColumn="0" w:lastColumn="0" w:oddVBand="0" w:evenVBand="0" w:oddHBand="1" w:evenHBand="0" w:firstRowFirstColumn="0" w:firstRowLastColumn="0" w:lastRowFirstColumn="0" w:lastRowLastColumn="0"/>
            </w:pPr>
            <w:r>
              <w:t>Iteration count for erode or dilate operations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repeat-first</w:t>
            </w:r>
          </w:p>
        </w:tc>
        <w:tc>
          <w:tcPr>
            <w:tcW w:w="0" w:type="auto"/>
          </w:tcPr>
          <w:p>
            <w:pPr>
              <w:cnfStyle w:val="000000000000" w:firstRow="0" w:lastRow="0" w:firstColumn="0" w:lastColumn="0" w:oddVBand="0" w:evenVBand="0" w:oddHBand="0" w:evenHBand="0" w:firstRowFirstColumn="0" w:firstRowLastColumn="0" w:lastRowFirstColumn="0" w:lastRowLastColumn="0"/>
            </w:pPr>
            <w:r>
              <w:t>Iteration count for first operation of open, close, top-hat, or back-hat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repeat-second</w:t>
            </w:r>
          </w:p>
        </w:tc>
        <w:tc>
          <w:tcPr>
            <w:tcW w:w="0" w:type="auto"/>
          </w:tcPr>
          <w:p>
            <w:pPr>
              <w:cnfStyle w:val="000000100000" w:firstRow="0" w:lastRow="0" w:firstColumn="0" w:lastColumn="0" w:oddVBand="0" w:evenVBand="0" w:oddHBand="1" w:evenHBand="0" w:firstRowFirstColumn="0" w:firstRowLastColumn="0" w:lastRowFirstColumn="0" w:lastRowLastColumn="0"/>
            </w:pPr>
            <w:r>
              <w:t>Iteration count for second operation of open, close, top-hat, or back-hat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lastRenderedPageBreak/>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lower_in</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upper_in</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lower_out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upper_out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23"/>
      <w:footerReference w:type="default" r:id="rId24"/>
      <w:footerReference w:type="first" r:id="rId2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7/31/2022 1:08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7/31/2022 1:08 PM</w:t>
        </w:r>
        <w:r>
          <w:fldChar w:fldCharType="end"/>
        </w:r>
        <w:r>
          <w:tab/>
        </w:r>
        <w:r>
          <w:fldChar w:fldCharType="begin"/>
        </w:r>
        <w:r>
          <w:instrText xml:space="preserve"> DOCPROPERTY  Version  \* MERGEFORMAT </w:instrText>
        </w:r>
        <w:r>
          <w:fldChar w:fldCharType="separate"/>
        </w:r>
        <w:proofErr w:type="spellStart"/>
        <w:r>
          <w:t>v0.2</w:t>
        </w:r>
        <w:proofErr w:type="spellEnd"/>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jpeg.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ubuntu.com/" TargetMode="External"/><Relationship Id="rId7" Type="http://schemas.openxmlformats.org/officeDocument/2006/relationships/endnotes" Target="endnotes.xml"/><Relationship Id="rId12" Type="http://schemas.openxmlformats.org/officeDocument/2006/relationships/hyperlink" Target="https://diplib.org/" TargetMode="External"/><Relationship Id="rId17" Type="http://schemas.openxmlformats.org/officeDocument/2006/relationships/hyperlink" Target="https://mipav.cit.nih.gov/"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sci.utah.edu/" TargetMode="External"/><Relationship Id="rId20" Type="http://schemas.openxmlformats.org/officeDocument/2006/relationships/hyperlink" Target="https://github.com/kushnertodd/cv-workbench/blob/master/doc/cv-workbench.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mp.org/" TargetMode="External"/><Relationship Id="rId23" Type="http://schemas.openxmlformats.org/officeDocument/2006/relationships/header" Target="head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imagemagick.org/" TargetMode="External"/><Relationship Id="rId22" Type="http://schemas.openxmlformats.org/officeDocument/2006/relationships/hyperlink" Target="https://docs.microsoft.com/en-us/windows/wsl/instal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6599</TotalTime>
  <Pages>23</Pages>
  <Words>6870</Words>
  <Characters>39164</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399</cp:revision>
  <cp:lastPrinted>2022-07-18T21:59:00Z</cp:lastPrinted>
  <dcterms:created xsi:type="dcterms:W3CDTF">2021-12-22T18:29:00Z</dcterms:created>
  <dcterms:modified xsi:type="dcterms:W3CDTF">2022-07-31T20:15:00Z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v0.2</vt:lpwstr>
  </property>
</Properties>
</file>