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DESIGN TASK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6704101562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DATA HANDLING AND VISUALIZATION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001953125" w:line="240" w:lineRule="auto"/>
        <w:ind w:left="0" w:right="2.3986816406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G Kushwanth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98974609375" w:line="240" w:lineRule="auto"/>
        <w:ind w:left="0" w:right="0"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192424150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899658203125" w:line="240" w:lineRule="auto"/>
        <w:ind w:left="379.74472045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Question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30664062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Healthcare Organization Waiting-Time Analysis Dashboard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 w:line="240" w:lineRule="auto"/>
        <w:ind w:left="368.1791687011719"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1. A healthcare organization has collected patient waiting-time data from 20 hospitals over one year. </w:t>
      </w:r>
      <w:r w:rsidDel="00000000" w:rsidR="00000000" w:rsidRPr="00000000">
        <w:drawing>
          <wp:anchor allowOverlap="1" behindDoc="0" distB="19050" distT="19050" distL="19050" distR="19050" hidden="0" layoutInCell="1" locked="0" relativeHeight="0" simplePos="0">
            <wp:simplePos x="0" y="0"/>
            <wp:positionH relativeFrom="column">
              <wp:posOffset>-44299</wp:posOffset>
            </wp:positionH>
            <wp:positionV relativeFrom="paragraph">
              <wp:posOffset>-48640</wp:posOffset>
            </wp:positionV>
            <wp:extent cx="5926836" cy="1514856"/>
            <wp:effectExtent b="0" l="0" r="0" t="0"/>
            <wp:wrapSquare wrapText="bothSides" distB="19050" distT="19050" distL="19050" distR="19050"/>
            <wp:docPr id="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26836" cy="1514856"/>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0029296875" w:line="240" w:lineRule="auto"/>
        <w:ind w:left="362.899169921875" w:right="0" w:firstLine="0"/>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Task: Design a visualization dashboard that: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9492187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Shows Box Plots and Violin Plots for waiting times across hospitals.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Identifies outliers and extreme waiting-time cases.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Highlights differences in median waiting times and variability among hospitals.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98828125" w:line="261.2589168548584" w:lineRule="auto"/>
        <w:ind w:left="363.3216857910156" w:right="1201.026611328125" w:firstLine="0.211181640625"/>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Objective: Help hospital administrators identify service inefficiencies and improve patient care  quality.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22070312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Objective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8938751220703" w:lineRule="auto"/>
        <w:ind w:left="356.7359924316406" w:right="300.079345703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this dashboard design is to empower hospital administrators and  healthcare operations teams to systematically evaluate patient waiting times across 20 healthcare  facilities. By highlighting central tendencies, distributional spread, and operational anomalies  (outliers), the dashboard facilitates targeted administrative interventions, resource reallocation,  and clinical workflow optimization to improve patient satisfaction and service quality.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60498046875" w:line="240" w:lineRule="auto"/>
        <w:ind w:left="358.665618896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Dataset Assumption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73291015625" w:line="264.39416885375977" w:lineRule="auto"/>
        <w:ind w:left="360.33599853515625" w:right="292.840576171875" w:hanging="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Since an empirical patient waiting-time dataset was not provided in the task files, a  synthetic dataset was algorithmically generated in R (using set.seed(123)) to enable realistic  statistical modeling. The synthetic dataset simulates patient waiting times across 20 hospitals  (Hospital 1 through Hospital 20) with 100 patient observations recorded per hospital (total N =  2,000 observations). Baseline waiting times follow a Gaussian distribution centered at a mean of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799560546875" w:line="263.8721752166748" w:lineRule="auto"/>
        <w:ind w:left="363.2160949707031" w:right="289.9194335937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minutes with a standard deviation of 10 minutes. To simulate real-world operational  disruptions—such as emergency surges or triage bottlenecks—20 extreme waiting-time cases  (outliers) were artificially injected into random records by adding unexpected delays ranging from 40 to 80 minutes.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277954101562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Methodology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63.8948345184326" w:lineRule="auto"/>
        <w:ind w:left="354.81597900390625" w:right="627.11914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statistical analysis and visual rendering were executed in R using ggplot2, dplyr, and patchwork. The methodology follows a structured three-stage data processing pipeline: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5146484375" w:line="259.8955821990967" w:lineRule="auto"/>
        <w:ind w:left="724.6560668945312" w:right="297.398681640625" w:hanging="35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Data Aggregation &amp; Categorization: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records were structured into a tabular data  frame, grouping waiting times by hospital factors.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1953125" w:line="260.5622863769531" w:lineRule="auto"/>
        <w:ind w:left="717.6960754394531" w:right="296.0400390625" w:hanging="349.9200439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Outlier Identification via IQR Rule: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Extreme waiting-time cases were identified using  the standard Interquartile Range (IQR) rule. Any record with a waiting time strictly less than  (Q1 - 1.5 * IQR) or strictly greater than (Q3 + 1.5 * IQR) within its respective hospital was  flagged and isolated into a dedicated outlier dataset.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8056640625" w:line="259.89609718322754" w:lineRule="auto"/>
        <w:ind w:left="717.2160339355469" w:right="292.919921875" w:hanging="34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Dashboard Composition: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Box plots and violin plots were synthesized into a unified  multi-panel dashboard to display both parametric summaries and non-parametric density  distributions side-by-side.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236328125"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 Techniques Used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59.89609718322754" w:lineRule="auto"/>
        <w:ind w:left="717.2160339355469" w:right="296.920166015625" w:hanging="34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Box Plots: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Utilized to present five-number summaries (minimum, Q1 median Q2, Q3,  maximum) for each hospital. Outliers are highlighted using distinct red markers to draw  immediate visual attention to extreme delays.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34619140625" w:line="260.8956527709961" w:lineRule="auto"/>
        <w:ind w:left="714.8159790039062" w:right="29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Violin Plots: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Employed kernel density estimation overlaid with narrow white box plots to  reveal distributional shape, multi-modality, and skewness across hospitals that standard box  plots might conceal.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40966796875" w:line="259.89609718322754" w:lineRule="auto"/>
        <w:ind w:left="723.4559631347656" w:right="286.5600585937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Tabular Outlier 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Renders an audited table of identified extreme waiting-time  cases for direct operational reference.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35595703125" w:line="257.89698600769043" w:lineRule="auto"/>
        <w:ind w:left="723.2160949707031" w:right="299.08081054687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Multi-Panel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individual plots vertically into a single comparative  dashboard using patchwork for holistic evaluation.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231445312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Observations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370.415954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analysis of the generated dashboard yields key operational insights: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60.8957099914551" w:lineRule="auto"/>
        <w:ind w:left="716.7359924316406" w:right="294.23950195312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Median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median waiting times across all 20 hospitals cluster closely  around the 45-minute mark, demonstrating relatively consistent routine performance under  normal conditions.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43896484375" w:line="265.8935737609863" w:lineRule="auto"/>
        <w:ind w:left="367.7760314941406" w:right="291.35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Variability &amp; Spread: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Interquartile ranges remain uniform across most facilities, but  several hospitals display extended upper whiskers and prominent right-skewed tails.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Extreme Outliers: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IQR detection algorithm isolated exactly 20 extreme waiting-time  cases, with peak delays reaching between 85 and 125 minutes, representing critical service  breakdowns.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6416015625" w:line="240" w:lineRule="auto"/>
        <w:ind w:left="360.22079467773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3362426757812" w:line="264.89404678344727" w:lineRule="auto"/>
        <w:ind w:left="355.0559997558594" w:right="296.99951171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effectively isolates baseline waiting-time distributions from severe operational  bottlenecks. Administrators can instantly distinguish between acceptable routine wait fluctuations and critical extreme delays requiring emergency intervention.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590820312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Conclusion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3818359375" w:line="264.56088066101074" w:lineRule="auto"/>
        <w:ind w:left="357.6960754394531" w:right="292.08007812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box plots and violin plots provides healthcare administrators with a robust diagnostic  tool. By pairing median benchmark tracking with explicit outlier isolation, hospital management  can optimize emergency department staffing, streamline patient intake, and significantly enhance  overall healthcare delivery standards.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9228515625"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Visualizations &amp; Dashboard Artifacts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1279296875" w:line="203.6578130722046" w:lineRule="auto"/>
        <w:ind w:left="1284.8159790039062" w:right="1312.199707031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745863" cy="266954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45863" cy="2669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1.1: Healthcare Dashboard — Patient Waiting Time Analysis Across 20 Hospitals.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57080078125" w:line="240" w:lineRule="auto"/>
        <w:ind w:left="1880.816040039062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3943477" cy="233553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943477" cy="23355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1.2: Box Plot of Patient Waiting Times across 20 Hospitals highlighting outliers in 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33715820312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8160400390625" w:right="0" w:firstLine="0"/>
        <w:jc w:val="lef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drawing>
          <wp:inline distB="19050" distT="19050" distL="19050" distR="19050">
            <wp:extent cx="3946779" cy="2335530"/>
            <wp:effectExtent b="0" l="0" r="0" t="0"/>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946779" cy="233553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4630928039551" w:lineRule="auto"/>
        <w:ind w:left="933.8343811035156" w:right="952.43225097656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1.3: Violin Plot displaying kernel density distributions of patient waiting times across hospitals.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2144141" cy="237236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144141"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1.4: Tabular view of extreme waiting-time cases identified using the Interquartile Range (IQR) method.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33422851562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4472045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Question 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2480468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Smart City Air Quality Monitoring Dashboard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 w:line="263.53179931640625" w:lineRule="auto"/>
        <w:ind w:left="353.6064147949219" w:right="766.895751953125" w:firstLine="5.068817138671875"/>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2. A smart city project monitors hourly air quality data (PM2.5, PM10, NO₂, and CO) from 15 monitoring  stations. </w:t>
      </w:r>
      <w:r w:rsidDel="00000000" w:rsidR="00000000" w:rsidRPr="00000000">
        <w:drawing>
          <wp:anchor allowOverlap="1" behindDoc="0" distB="19050" distT="19050" distL="19050" distR="19050" hidden="0" layoutInCell="1" locked="0" relativeHeight="0" simplePos="0">
            <wp:simplePos x="0" y="0"/>
            <wp:positionH relativeFrom="column">
              <wp:posOffset>-35045</wp:posOffset>
            </wp:positionH>
            <wp:positionV relativeFrom="paragraph">
              <wp:posOffset>-48259</wp:posOffset>
            </wp:positionV>
            <wp:extent cx="5926836" cy="1691640"/>
            <wp:effectExtent b="0" l="0" r="0" t="0"/>
            <wp:wrapSquare wrapText="bothSides" distB="19050" distT="19050" distL="19050" distR="1905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26836" cy="169164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2119140625" w:line="240" w:lineRule="auto"/>
        <w:ind w:left="362.899169921875" w:right="0" w:firstLine="0"/>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Task: Create a visualization design that: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817382812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Uses Heatmaps to display pollution intensity across locations and time periods.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Employs Ridgeline Plots to compare pollutant distributions among stations.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9853515625" w:line="240" w:lineRule="auto"/>
        <w:ind w:left="373.712158203125" w:right="0" w:firstLine="0"/>
        <w:jc w:val="left"/>
        <w:rPr>
          <w:rFonts w:ascii="Times New Roman" w:cs="Times New Roman" w:eastAsia="Times New Roman" w:hAnsi="Times New Roman"/>
          <w:b w:val="0"/>
          <w:bCs w:val="0"/>
          <w:i w:val="1"/>
          <w:iCs w:val="1"/>
          <w:smallCaps w:val="0"/>
          <w:strike w:val="0"/>
          <w:color w:val="282828"/>
          <w:sz w:val="21.167999267578125"/>
          <w:szCs w:val="21.16799926757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67999267578125"/>
          <w:szCs w:val="21.167999267578125"/>
          <w:u w:val="none"/>
          <w:shd w:fill="auto" w:val="clear"/>
          <w:vertAlign w:val="baseline"/>
          <w:rtl w:val="0"/>
        </w:rPr>
        <w:t xml:space="preserve">● Highlights pollution spikes and abnormal environmental conditions.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951171875" w:line="261.2589168548584" w:lineRule="auto"/>
        <w:ind w:left="363.1103515625" w:right="690" w:firstLine="0.422515869140625"/>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Objective: Assist environmental authorities in identifying pollution hotspots and planning mitigation  measures.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21459960937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Objective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39425468444824" w:lineRule="auto"/>
        <w:ind w:left="355.5360412597656" w:right="299.600830078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this dashboard design is to assist smart city environmental authorities,  urban planners, and public health officials in tracking hourly atmospheric pollutant  concentrations (PM2.5, PM10, NO2, and CO) across 15 automated monitoring stations. The  system aims to reveal temporal emission cycles, pinpoint geographic pollution hotspots, and flag  hazardous pollution spikes.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5634765625" w:line="240" w:lineRule="auto"/>
        <w:ind w:left="358.665618896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Dataset Assumption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22757148742676" w:lineRule="auto"/>
        <w:ind w:left="354.81597900390625" w:right="294.47998046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smart city air quality monitoring dataset was synthetically generated in R (set.seed(456)) to  simulate hourly sensor telemetries. The dataset contains 360 observations covering 15 monitoring stations (Station 1 through Station 15) over a 24-hour cycle (hours 0 to 23). Base  pollutant concentrations were drawn from Gaussian distributions reflecting typical urban ambient  levels: PM2.5 (mean = 55, SD = 15 ug/m3), PM10 (mean = 80, SD = 20 ug/m3), NO2 (mean =  35, SD = 10 ug/m3), and CO (mean = 1.2, SD = 0.4 ppm). To model sudden industrial emissions  or traffic congestion spikes, 20 random observations received artificial PM2.5 surges of +40 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246826171875" w:line="240" w:lineRule="auto"/>
        <w:ind w:left="359.61608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ug/m3.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986083984375" w:line="240" w:lineRule="auto"/>
        <w:ind w:left="360.48004150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Methodology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362.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visualization suite was constructed in R utilizing ggplot2, ggridges, and dplyr: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61.89520835876465" w:lineRule="auto"/>
        <w:ind w:left="722.4960327148438" w:right="353.759765625" w:hanging="354.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Spatio-Temporal Tile Mapping: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PM2.5 concentration levels were mapped onto a 2D grid defined by Hour of the Day (X-axis) and Monitoring Station (Y-axis), using a continuous color gradient from light yellow (low) to deep red (high).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4658203125" w:line="261.86190605163574" w:lineRule="auto"/>
        <w:ind w:left="716.7359924316406" w:right="291.95922851562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Ridgeline Density Distribution: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ggridges library, stacked probability density  distributions of PM2.5 concentrations were generated for all 15 stations along a aligned  horizontal axis to enable direct multi-station variance comparison.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3794860839844"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723.9360046386719" w:right="454.84008789062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Threshold Screening: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strict environmental safety threshold (PM2.5 &gt; 100 ug/m3) was  applied to filter critical pollution alert episodes.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89892578125"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 Techniques Used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67.89268493652344" w:lineRule="auto"/>
        <w:ind w:left="367.7760314941406" w:right="414.8791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Spatio-Temporal Heatmap: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high-density matrix visualization showing  pollution intensity variations simultaneously across space (stations) and time (hours).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Ridgeline Plots: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continuous density profiles stacked vertically, offering intuitive  visual contrast of distribution shapes, spread, and modal peaks among monitoring locations.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Alert Table Filtering: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Isolates abnormal environmental conditions exceeding safety thresholds for rapid regulatory compliance reporting.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39257812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Observations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40" w:lineRule="auto"/>
        <w:ind w:left="359.37606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environmental findings extracted from the dashboard visual artifacts include: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55.89735984802246" w:lineRule="auto"/>
        <w:ind w:left="724.176025390625" w:right="296.440429687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Spatial Hotspots: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Heatmap analysis identifies specific stations experiencing persistent  elevated PM2.5 levels during afternoon and rush-hour periods.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095703125" w:line="260.89539527893066" w:lineRule="auto"/>
        <w:ind w:left="715.5360412597656" w:right="295.240478515625" w:hanging="347.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Distributional Variance: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Ridgeline plots demonstrate that while most stations maintain  unimodal distributions centered around 50–60 ug/m3, several stations exhibit pronounced  right-skewed tails extending beyond 110 ug/m3.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57.89698600769043" w:lineRule="auto"/>
        <w:ind w:left="715.5360412597656" w:right="300.039062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Pollution Spikes: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Threshold filtering identified 20 distinct hourly readings exceeding 100  ug/m3, flagging urgent localized environmental pollution episodes.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234375" w:line="240" w:lineRule="auto"/>
        <w:ind w:left="360.22079467773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64.89416122436523" w:lineRule="auto"/>
        <w:ind w:left="357.2160339355469" w:right="287.760009765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air quality dashboard effectively transforms multi-pollutant sensor telemetry into actionable  visual intelligence, successfully coupling macro-level spatial trends with micro-level distribution  analysis.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259765625" w:line="240" w:lineRule="auto"/>
        <w:ind w:left="36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Conclusion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64.56090927124023" w:lineRule="auto"/>
        <w:ind w:left="354.81597900390625" w:right="298.480224609375"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spatio-temporal heatmaps with ridgeline density plots provides environmental  protection agencies with a comprehensive monitoring framework. Urban authorities can utilize  these insights to issue timely public health advisories, enforce localized traffic restrictions, and  deploy targeted pollution mitigation strategies.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59350585937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Visualizations &amp; Dashboard Artifacts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203.59125137329102" w:lineRule="auto"/>
        <w:ind w:left="1290.8160400390625" w:right="1306.1999511718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745863" cy="2669540"/>
            <wp:effectExtent b="0" l="0" r="0" t="0"/>
            <wp:docPr id="1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745863" cy="2669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2.1: Smart City Air Quality Monitoring Dashboard.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916259765625" w:line="207.24815368652344" w:lineRule="auto"/>
        <w:ind w:left="1212.2343444824219" w:right="1246.853027343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4576191" cy="300736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76191" cy="30073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2.2: Heatmap of PM2.5 Pollution Intensity across 15 Monitoring Stations and 24 Hours.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914184570312"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2125148773193" w:lineRule="auto"/>
        <w:ind w:left="929.034423828125" w:right="1050.02136230468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drawing>
          <wp:inline distB="19050" distT="19050" distL="19050" distR="19050">
            <wp:extent cx="4625213" cy="298577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25213" cy="29857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2.3: Ridgeline Plot comparing PM2.5 Concentration Distributions across Monitoring Stations.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1689453125"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4472045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Question 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2480468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University Academic Performance Dashboard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 w:line="240" w:lineRule="auto"/>
        <w:ind w:left="362.26562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3. A university tracks student academic performance across multiple departments over five academic years. </w:t>
      </w:r>
      <w:r w:rsidDel="00000000" w:rsidR="00000000" w:rsidRPr="00000000">
        <w:drawing>
          <wp:anchor allowOverlap="1" behindDoc="0" distB="19050" distT="19050" distL="19050" distR="19050" hidden="0" layoutInCell="1" locked="0" relativeHeight="0" simplePos="0">
            <wp:simplePos x="0" y="0"/>
            <wp:positionH relativeFrom="column">
              <wp:posOffset>-40544</wp:posOffset>
            </wp:positionH>
            <wp:positionV relativeFrom="paragraph">
              <wp:posOffset>-48260</wp:posOffset>
            </wp:positionV>
            <wp:extent cx="5926836" cy="1513332"/>
            <wp:effectExtent b="0" l="0" r="0" t="0"/>
            <wp:wrapSquare wrapText="bothSides" distB="19050" distT="19050" distL="19050" distR="1905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26836" cy="1513332"/>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9931640625" w:line="240" w:lineRule="auto"/>
        <w:ind w:left="362.899169921875" w:right="0" w:firstLine="0"/>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Task: Design a visualization dashboard that: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8369140625" w:line="240" w:lineRule="auto"/>
        <w:ind w:left="373.67034912109375" w:right="0"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Uses Line Charts to show performance trends over time.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958984375" w:line="302.1511459350586" w:lineRule="auto"/>
        <w:ind w:left="373.67034912109375" w:right="2339.1302490234375" w:firstLine="0"/>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Incorporates Scatter Plots to analyze the relationship between attendance and grades. ● Uses Facet Grids to compare departmental performance simultaneously.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261.2600898742676" w:lineRule="auto"/>
        <w:ind w:left="363.7440490722656" w:right="1109.903564453125" w:hanging="0.211181640625"/>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Objective: Enable academic administrators to identify performance trends and factors affecting  student success.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20239257812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Objective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41357421875" w:line="264.3941402435303" w:lineRule="auto"/>
        <w:ind w:left="354.81597900390625" w:right="293.39965820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dashboard is to equip university academic administrators, deans, and  educational policy makers with a multi-perspective analytic tool to evaluate longitudinal student  performance across five departments over a five-year period (2021–2025). The design  investigates overall academic trajectories, evaluates the impact of student attendance on final  grades, and enables side-by-side departmental benchmarking.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62451171875" w:line="240" w:lineRule="auto"/>
        <w:ind w:left="358.665618896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Dataset Assumption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29426193237305" w:lineRule="auto"/>
        <w:ind w:left="352.41607666015625" w:right="295.560302734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synthetic student academic record dataset was generated in R (set.seed(789)). The dataset  tracks 5 engineering departments (CSE, AIDS, ECE, EEE, and MECH) across 5 academic years  (2021 to 2025), with 100 student records per department per year (total N = 2,500 observations).  Student attendance percentages were sampled uniformly between 60% and 100%. Final student  grades were generated as a linear function of attendance: Grade = 40 + 0.5 * Attendance +  N(mean=0, sd=5), creating a realistic positive correlation with natural student-level variance.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341796875" w:line="240" w:lineRule="auto"/>
        <w:ind w:left="360.48004150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Methodology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73291015625" w:line="240" w:lineRule="auto"/>
        <w:ind w:left="359.37606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manipulation and visual analytics were implemented in R using ggplot2 and dplyr: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59.8958396911621" w:lineRule="auto"/>
        <w:ind w:left="717.4560546875" w:right="382.79907226562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Longitudinal Trend Aggregation: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records were grouped by Department and  Year to compute annual mean grade averages for trend tracking.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4169921875" w:line="266.56002044677734" w:lineRule="auto"/>
        <w:ind w:left="367.7760314941406" w:right="349.4396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Correlation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student attendance figures were plotted against final  grades, applying semi-transparent point rendering (alpha = 0.7) to handle overplotting.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Small Multiples Faceting: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facet_wrap(~Department), comparative trend lines were  isolated into individual departmental sub-plots to eliminate line overlap visual clutter.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001098632812"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 Techniques Used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61694335938" w:line="257.89687156677246" w:lineRule="auto"/>
        <w:ind w:left="714.8159790039062" w:right="405.9594726562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Longitudinal Line Chart: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Renders multi-series time-trend lines displaying average grade  progression from 2021 to 2025 across all departments on a unified axis.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313110351562" w:line="240" w:lineRule="auto"/>
        <w:ind w:left="0" w:right="446.40014648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6242179870605" w:lineRule="auto"/>
        <w:ind w:left="717.6960754394531" w:right="297.438964843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Attendance vs. Grade Scatter Plot: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individual student data points to evaluate the mathematical correlation between classroom attendance percentages and final academic  scores.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7080078125" w:line="260.8956527709961" w:lineRule="auto"/>
        <w:ind w:left="714.8159790039062" w:right="298.399658203125" w:hanging="34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Facet Grid (Small Multiples):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Decomposes overall trends into isolated department panels, enabling clear individual trend evaluation while preserving structural scale  consistency.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387695312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Observations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6484375" w:line="240" w:lineRule="auto"/>
        <w:ind w:left="359.37606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academic performance findings include: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57.89647102355957" w:lineRule="auto"/>
        <w:ind w:left="717.6960754394531" w:right="29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Stable Performance Trajectories: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departmental grades remain consistent over  the 5-year span, oscillating stably between 80% and 85%.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4169921875" w:line="259.89609718322754" w:lineRule="auto"/>
        <w:ind w:left="723.4559631347656" w:right="296.639404296875" w:hanging="355.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Strong Attendance Correlation: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scatter plot displays a distinct positive slope,  confirming that higher attendance rates strongly correlate with higher academic grades across  all departments.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34619140625" w:line="260.8956527709961" w:lineRule="auto"/>
        <w:ind w:left="723.9360046386719" w:right="300.7983398437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Departmental Symmetry: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Facet grid analysis indicates uniform performance trends across CSE, AIDS, ECE, EEE, and MECH, with no single department exhibiting systemic  academic decline.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44873046875" w:line="240" w:lineRule="auto"/>
        <w:ind w:left="360.22079467773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65.06041526794434" w:lineRule="auto"/>
        <w:ind w:left="362.49603271484375" w:right="296.7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successfully connects macro-level institutional performance trends with micro level student behavior analytics, confirming that attendance is a key determinant of academic  success across all disciplines.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40" w:lineRule="auto"/>
        <w:ind w:left="36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Conclusion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8939037322998" w:lineRule="auto"/>
        <w:ind w:left="363.9360046386719" w:right="300.07934570312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integrating longitudinal line charts, attendance scatter plots, and departmental facet grids,  academic institutions gain actionable insights. University leadership can confidently implement  evidence-based attendance monitoring policies and early academic intervention programs.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226318359375"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Visualizations &amp; Dashboard Artifacts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203.59125137329102" w:lineRule="auto"/>
        <w:ind w:left="1290.8160400390625" w:right="1306.1999511718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745863" cy="2669540"/>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745863" cy="2669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3.1: University Academic Performance Overview Dashboard.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916259765625" w:line="208.74675750732422" w:lineRule="auto"/>
        <w:ind w:left="1367.8160095214844" w:right="1487.600097656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4581779" cy="298577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81779" cy="29857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3.2: Longitudinal Line Chart of Average Academic Grade Trends (2021–2025).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069580078125"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2153911590576" w:lineRule="auto"/>
        <w:ind w:left="955.4344177246094" w:right="1043.40515136718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drawing>
          <wp:inline distB="19050" distT="19050" distL="19050" distR="19050">
            <wp:extent cx="4581652" cy="3007360"/>
            <wp:effectExtent b="0" l="0" r="0" t="0"/>
            <wp:docPr id="1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581652" cy="30073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3.3: Scatter Plot analyzing the relationship between Student Attendance (%) and Final Grade.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90087890625" w:line="208.82327556610107" w:lineRule="auto"/>
        <w:ind w:left="950.6343078613281" w:right="1049.95910644531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4581779" cy="298577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81779" cy="29857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3.4: Facet Grid comparing Department-wise Academic Performance trajectories side-by-side.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7702026367188"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44720458984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Question 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2480468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Logistics Delivery Performance Dashboard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 w:line="263.53179931640625" w:lineRule="auto"/>
        <w:ind w:left="363.9552307128906" w:right="963.5614013671875" w:hanging="2.111968994140625"/>
        <w:jc w:val="left"/>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4. A logistics company records delivery times for thousands of shipments using Road, Rail, Air, and Sea  transportation modes. </w:t>
      </w:r>
      <w:r w:rsidDel="00000000" w:rsidR="00000000" w:rsidRPr="00000000">
        <w:drawing>
          <wp:anchor allowOverlap="1" behindDoc="0" distB="19050" distT="19050" distL="19050" distR="19050" hidden="0" layoutInCell="1" locked="0" relativeHeight="0" simplePos="0">
            <wp:simplePos x="0" y="0"/>
            <wp:positionH relativeFrom="column">
              <wp:posOffset>-41616</wp:posOffset>
            </wp:positionH>
            <wp:positionV relativeFrom="paragraph">
              <wp:posOffset>-48259</wp:posOffset>
            </wp:positionV>
            <wp:extent cx="5926836" cy="1691640"/>
            <wp:effectExtent b="0" l="0" r="0" t="0"/>
            <wp:wrapSquare wrapText="bothSides" distB="19050" distT="19050" distL="19050" distR="19050"/>
            <wp:docPr id="1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26836" cy="1691640"/>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2119140625" w:line="240" w:lineRule="auto"/>
        <w:ind w:left="362.899169921875" w:right="0" w:firstLine="0"/>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Task: Create a visualization design that: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8173828125" w:line="299.6535301208496" w:lineRule="auto"/>
        <w:ind w:left="373.67034912109375" w:right="1342.5885009765625" w:firstLine="0"/>
        <w:jc w:val="left"/>
        <w:rPr>
          <w:rFonts w:ascii="Times New Roman" w:cs="Times New Roman" w:eastAsia="Times New Roman" w:hAnsi="Times New Roman"/>
          <w:b w:val="0"/>
          <w:bCs w:val="0"/>
          <w:i w:val="1"/>
          <w:iCs w:val="1"/>
          <w:smallCaps w:val="0"/>
          <w:strike w:val="0"/>
          <w:color w:val="282828"/>
          <w:sz w:val="21.167999267578125"/>
          <w:szCs w:val="21.16799926757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1.1200008392334"/>
          <w:szCs w:val="21.1200008392334"/>
          <w:u w:val="none"/>
          <w:shd w:fill="auto" w:val="clear"/>
          <w:vertAlign w:val="baseline"/>
          <w:rtl w:val="0"/>
        </w:rPr>
        <w:t xml:space="preserve">● Uses Histograms and ECDFs to compare delivery-time distributions across transportation modes. ● Employs Q-Q Plots to assess whether delivery times follow a theoretical normal distribution. </w:t>
      </w:r>
      <w:r w:rsidDel="00000000" w:rsidR="00000000" w:rsidRPr="00000000">
        <w:rPr>
          <w:rFonts w:ascii="Times New Roman" w:cs="Times New Roman" w:eastAsia="Times New Roman" w:hAnsi="Times New Roman"/>
          <w:b w:val="0"/>
          <w:bCs w:val="0"/>
          <w:i w:val="1"/>
          <w:iCs w:val="1"/>
          <w:smallCaps w:val="0"/>
          <w:strike w:val="0"/>
          <w:color w:val="282828"/>
          <w:sz w:val="21.167999267578125"/>
          <w:szCs w:val="21.167999267578125"/>
          <w:u w:val="none"/>
          <w:shd w:fill="auto" w:val="clear"/>
          <w:vertAlign w:val="baseline"/>
          <w:rtl w:val="0"/>
        </w:rPr>
        <w:t xml:space="preserve">● Highlights delays, variability, and outliers in delivery performance.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9609375" w:line="261.2589168548584" w:lineRule="auto"/>
        <w:ind w:left="363.1103515625" w:right="670.684814453125" w:firstLine="0.422515869140625"/>
        <w:jc w:val="left"/>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66"/>
          <w:sz w:val="21.1200008392334"/>
          <w:szCs w:val="21.1200008392334"/>
          <w:u w:val="none"/>
          <w:shd w:fill="auto" w:val="clear"/>
          <w:vertAlign w:val="baseline"/>
          <w:rtl w:val="0"/>
        </w:rPr>
        <w:t xml:space="preserve">Objective: Support operational teams in optimizing transportation strategies and improving delivery  reliability.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21459960937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Objective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39425468444824" w:lineRule="auto"/>
        <w:ind w:left="356.7359924316406" w:right="300.079345703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logistics performance dashboard is to provide operational logistics  managers, supply chain strategists, and transportation analysts with a rigorous statistical toolkit to evaluate shipment delivery lead times across four primary modalities: Road, Rail, Air, and Sea. The design assesses lead time distributions, empirical SLA fulfillment probabilities,  normality assumptions, and extreme shipment delays.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5634765625" w:line="240" w:lineRule="auto"/>
        <w:ind w:left="358.665618896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Dataset Assumption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64.22757148742676" w:lineRule="auto"/>
        <w:ind w:left="355.5360412597656" w:right="291.600341796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logistics dataset was synthetically generated in R (set.seed(101)). A total sample of 1,000  shipments was randomly assigned across four transportation modes (Road, Rail, Air, Sea).  Baseline delivery lead times (in hours) were generated using mode-specific Gaussian  distributions: Air (mean = 12, SD = 3 hrs), Rail (mean = 36, SD = 6 hrs), Road (mean = 48, SD =  8 hrs), and Sea (mean = 72, SD = 10 hrs). To simulate real-world supply chain bottlenecks— such as customs holds, port congestion, or severe weather—30 shipments were injected with  unexpected delays of +20 to +40 hours.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9217529296875" w:line="240" w:lineRule="auto"/>
        <w:ind w:left="360.48004150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Methodology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370849609375" w:line="240" w:lineRule="auto"/>
        <w:ind w:left="359.37606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Distributional modeling was performed in R using ggplot2: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59.89609718322754" w:lineRule="auto"/>
        <w:ind w:left="722.2560119628906" w:right="342.47924804687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Frequency Binned Histograms: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Faceted histograms with 30 bins were constructed to  inspect empirical probability mass functions for each transport mode.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386474609375" w:line="266.5377616882324" w:lineRule="auto"/>
        <w:ind w:left="367.7760314941406" w:right="361.43920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Empirical Cumulative Distribution Functions (ECDF):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stat_ecdf curves were rendered  on a shared axis to quantify cumulative SLA compliance percentages across transit times.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Normality Q-Q Plotting: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Quantile-Quantile plots (stat_qq and stat_qq_line) were  constructed to test whether observed delivery times adhere to theoretical Gaussian behavior.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621978759766"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 Techniques Used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59.8966121673584" w:lineRule="auto"/>
        <w:ind w:left="723.2160949707031" w:right="297.6391601562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Faceted Histograms: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modal frequency comparison and visual inspection of  distribution spread, central tendency, and modal overlap.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3046875" w:line="261.89520835876465" w:lineRule="auto"/>
        <w:ind w:left="714.8159790039062" w:right="299.6801757812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ECDF Curves: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continuous cumulative probability readouts, allowing logistics  planners to directly determine the exact percentage of shipments delivered within any target  timeframe.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4658203125" w:line="261.89520835876465" w:lineRule="auto"/>
        <w:ind w:left="716.7359924316406" w:right="300.27954101562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Normal Q-Q Plots: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Compares sample quantiles against theoretical normal quantiles,  highlighting heavy tails and non-normal delay anomalies as upward deviations from the red  reference line.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421875" w:line="240" w:lineRule="auto"/>
        <w:ind w:left="36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Observations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3916015625" w:line="240" w:lineRule="auto"/>
        <w:ind w:left="359.37606811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logistical insights derived from visual distribution analysis include: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60.89548110961914" w:lineRule="auto"/>
        <w:ind w:left="716.7359924316406" w:right="297.87963867187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Modal Lead Time Hierarchy: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transport delivers the fastest median lead time (~12  hours) with minimal variance, followed by Rail (~36 hours), Road (~48 hours), and Sea (~72  hours).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50244140625" w:line="265.3938102722168" w:lineRule="auto"/>
        <w:ind w:left="367.7760314941406" w:right="288.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ECDF SLA Stratification: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ECDF curves show clear horizontal separation; Air  reaches 100% cumulative delivery well before Sea reaches 50% cumulative delivery.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Heavy Tail Delay Anomalies: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Q-Q plot analysis reveals noticeable upper-quantile  curvature above the reference line, confirming right-tail delay inflation caused by injected  logistics bottlenecks.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65869140625" w:line="240" w:lineRule="auto"/>
        <w:ind w:left="360.22079467773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64.89416122436523" w:lineRule="auto"/>
        <w:ind w:left="363.2160949707031" w:right="303.9196777343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multi-chart logistics suite provides operational teams with empirical lead time benchmarks,  enabling accurate SLA calculation and identifying modalities vulnerable to unexpected  disruption.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259765625" w:line="240" w:lineRule="auto"/>
        <w:ind w:left="365.6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Conclusion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63.8945198059082" w:lineRule="auto"/>
        <w:ind w:left="354.81597900390625" w:right="292.320556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Leveraging histograms, ECDF curves, and Q-Q plots enables logistics organizations to transition  from simple mean-based metrics to comprehensive distributional risk management. Supply chain  managers can refine multi-modal routing, establish realistic customer SLAs, and deploy proactive risk mitigations for long-tail shipment delays.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6255493164062"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69689941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Visualizations &amp; Dashboard Artifacts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203.59125137329102" w:lineRule="auto"/>
        <w:ind w:left="1290.8160400390625" w:right="1306.19995117187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745863" cy="266954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745863" cy="2669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4.1: Logistics Delivery Performance Overview Dashboard.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916259765625" w:line="207.24815368652344" w:lineRule="auto"/>
        <w:ind w:left="1289.034423828125" w:right="1325.9973144531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4576191" cy="300736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76191" cy="30073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4.2: Faceted Histograms of Delivery Time Distributions across Transportation Modes.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914184570312"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15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2153911590576" w:lineRule="auto"/>
        <w:ind w:left="686.7143249511719" w:right="695.393066406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drawing>
          <wp:inline distB="19050" distT="19050" distL="19050" distR="19050">
            <wp:extent cx="4576191" cy="300736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576191" cy="30073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4.3: Empirical Cumulative Distribution Function (ECDF) of Delivery Times by Transportation Mode.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90087890625" w:line="208.82327556610107" w:lineRule="auto"/>
        <w:ind w:left="1393.81591796875" w:right="1410.2001953125"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drawing>
          <wp:inline distB="19050" distT="19050" distL="19050" distR="19050">
            <wp:extent cx="4614418" cy="298577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614418" cy="29857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Figure 4.4: Normal Quantile-Quantile (Q-Q) Plot assessing Delivery Time Normality.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7702026367188" w:line="240" w:lineRule="auto"/>
        <w:ind w:left="0" w:right="362.39990234375" w:firstLine="0"/>
        <w:jc w:val="right"/>
        <w:rPr>
          <w:rFonts w:ascii="Times New Roman" w:cs="Times New Roman" w:eastAsia="Times New Roman" w:hAnsi="Times New Roman"/>
          <w:b w:val="0"/>
          <w:bCs w:val="0"/>
          <w:i w:val="0"/>
          <w:iCs w:val="0"/>
          <w:smallCaps w:val="0"/>
          <w:strike w:val="0"/>
          <w:color w:val="636363"/>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36363"/>
          <w:sz w:val="18"/>
          <w:szCs w:val="18"/>
          <w:u w:val="none"/>
          <w:shd w:fill="auto" w:val="clear"/>
          <w:vertAlign w:val="baseline"/>
          <w:rtl w:val="0"/>
        </w:rPr>
        <w:t xml:space="preserve">Design Task Report | Page </w:t>
      </w:r>
      <w:r w:rsidDel="00000000" w:rsidR="00000000" w:rsidRPr="00000000">
        <w:rPr>
          <w:rFonts w:ascii="Times New Roman" w:cs="Times New Roman" w:eastAsia="Times New Roman" w:hAnsi="Times New Roman"/>
          <w:b w:val="0"/>
          <w:bCs w:val="0"/>
          <w:i w:val="0"/>
          <w:iCs w:val="0"/>
          <w:smallCaps w:val="0"/>
          <w:strike w:val="0"/>
          <w:color w:val="636363"/>
          <w:sz w:val="18"/>
          <w:szCs w:val="18"/>
          <w:u w:val="none"/>
          <w:shd w:fill="auto" w:val="clear"/>
          <w:vertAlign w:val="baseline"/>
          <w:rtl w:val="0"/>
        </w:rPr>
        <w:t xml:space="preserve">16 </w:t>
      </w:r>
    </w:p>
    <w:sectPr>
      <w:pgSz w:h="15840" w:w="12240" w:orient="portrait"/>
      <w:pgMar w:bottom="751.2000274658203" w:top="1274.7998046875" w:left="1085.1840209960938" w:right="108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