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Test Layout 04</w:t>
      </w:r>
    </w:p>
    <w:p>
      <w:pPr>
        <w:jc w:val="center"/>
      </w:pPr>
      <w:r>
        <w:rPr>
          <w:i/>
          <w:sz w:val="18"/>
        </w:rPr>
        <w:t>Compact strict two-column table · Questions only with blank answer spaces</w:t>
      </w:r>
    </w:p>
    <w:p>
      <w:r>
        <w:t xml:space="preserve"> </w:t>
      </w:r>
    </w:p>
    <w:p>
      <w:pPr>
        <w:pStyle w:val="Heading1"/>
      </w:pPr>
      <w:r>
        <w:t>Security Control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547" w:hRule="atLeast"/>
        </w:trPr>
        <w:tc>
          <w:tcPr>
            <w:tcW w:type="dxa" w:w="5040"/>
          </w:tcPr>
          <w:p>
            <w:r>
              <w:t>Describe your endpoint protection program.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How do you manage privileged access across production systems?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Describe your vulnerability management lifecycle.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How do you monitor for suspicious activity in your environment?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Describe your incident response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How do you secure laptops and mobile devices used by employees?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