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Privacy Test Layout 11</w:t>
      </w:r>
    </w:p>
    <w:p>
      <w:pPr>
        <w:jc w:val="center"/>
      </w:pPr>
      <w:r>
        <w:rPr>
          <w:i/>
          <w:sz w:val="18"/>
        </w:rPr>
        <w:t>Basic two-column table · Questions only with blank answer spaces</w:t>
      </w:r>
    </w:p>
    <w:p>
      <w:r>
        <w:t xml:space="preserve"> </w:t>
      </w:r>
    </w:p>
    <w:p>
      <w:pPr>
        <w:pStyle w:val="Heading1"/>
      </w:pPr>
      <w:r>
        <w:t>Privacy Questionnaire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691" w:hRule="atLeast"/>
        </w:trPr>
        <w:tc>
          <w:tcPr>
            <w:tcW w:type="dxa" w:w="5040"/>
          </w:tcPr>
          <w:p>
            <w:r>
              <w:t>Describe your personal data retention policy.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respond to data subject access requests?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Describe your lawful basis review process for processing personal data.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manage subprocessors that access customer data?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Describe your deletion workflow for customer records.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monitor compliance with privacy obligations?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