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12</w:t>
      </w:r>
    </w:p>
    <w:p>
      <w:pPr>
        <w:jc w:val="center"/>
      </w:pPr>
      <w:r>
        <w:rPr>
          <w:i/>
          <w:sz w:val="18"/>
        </w:rPr>
        <w:t>Two-column table with header row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32" w:hRule="atLeast"/>
        </w:trP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personal data retention policy.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respond to data subject access requests?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lawful basis review process for processing personal data.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manage subprocessors that access customer data?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Describe your deletion workflow for customer records.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040"/>
          </w:tcPr>
          <w:p>
            <w:r>
              <w:t>How do you monitor compliance with privacy obligations?</w:t>
            </w:r>
          </w:p>
        </w:tc>
        <w:tc>
          <w:tcPr>
            <w:tcW w:type="dxa" w:w="504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