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Privacy Test Layout 13</w:t>
      </w:r>
    </w:p>
    <w:p>
      <w:pPr>
        <w:jc w:val="center"/>
      </w:pPr>
      <w:r>
        <w:rPr>
          <w:i/>
          <w:sz w:val="18"/>
        </w:rPr>
        <w:t>Multiple two-column tables split by sections · Questions only with blank answer spaces</w:t>
      </w:r>
    </w:p>
    <w:p>
      <w:r>
        <w:t xml:space="preserve"> </w:t>
      </w:r>
    </w:p>
    <w:p>
      <w:pPr>
        <w:pStyle w:val="Heading2"/>
      </w:pPr>
      <w:r>
        <w:t>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720" w:hRule="atLeast"/>
        </w:trPr>
        <w:tc>
          <w:tcPr>
            <w:tcW w:type="dxa" w:w="5040"/>
          </w:tcPr>
          <w:p>
            <w:r>
              <w:t>Describe your personal data retention policy.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5040"/>
          </w:tcPr>
          <w:p>
            <w:r>
              <w:t>How do you respond to data subject access requests?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t xml:space="preserve"> </w:t>
      </w:r>
    </w:p>
    <w:p>
      <w:pPr>
        <w:pStyle w:val="Heading2"/>
      </w:pPr>
      <w:r>
        <w:t>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720" w:hRule="atLeast"/>
        </w:trPr>
        <w:tc>
          <w:tcPr>
            <w:tcW w:type="dxa" w:w="5040"/>
          </w:tcPr>
          <w:p>
            <w:r>
              <w:t>Describe your lawful basis review process for processing personal data.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5040"/>
          </w:tcPr>
          <w:p>
            <w:r>
              <w:t>How do you manage subprocessors that access customer data?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t xml:space="preserve"> </w:t>
      </w:r>
    </w:p>
    <w:p>
      <w:pPr>
        <w:pStyle w:val="Heading2"/>
      </w:pPr>
      <w:r>
        <w:t>Assurance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720" w:hRule="atLeast"/>
        </w:trPr>
        <w:tc>
          <w:tcPr>
            <w:tcW w:type="dxa" w:w="5040"/>
          </w:tcPr>
          <w:p>
            <w:r>
              <w:t>Describe your deletion workflow for customer records.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5040"/>
          </w:tcPr>
          <w:p>
            <w:r>
              <w:t>How do you monitor compliance with privacy obligations?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t xml:space="preserve"> 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