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14</w:t>
      </w:r>
    </w:p>
    <w:p>
      <w:pPr>
        <w:jc w:val="center"/>
      </w:pPr>
      <w:r>
        <w:rPr>
          <w:i/>
          <w:sz w:val="18"/>
        </w:rPr>
        <w:t>Compact strict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Privacy Control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547" w:hRule="atLeast"/>
        </w:trPr>
        <w:tc>
          <w:tcPr>
            <w:tcW w:type="dxa" w:w="5040"/>
          </w:tcPr>
          <w:p>
            <w:r>
              <w:t>Describe your personal data retention policy.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respond to data subject access requests?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lawful basis review process for processing personal data.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manage subprocessors that access customer data?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deletion workflow for customer records.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monitor compliance with privacy obligations?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