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Privacy Test Layout 16</w:t>
      </w:r>
    </w:p>
    <w:p>
      <w:pPr>
        <w:jc w:val="center"/>
      </w:pPr>
      <w:r>
        <w:rPr>
          <w:i/>
          <w:sz w:val="18"/>
        </w:rPr>
        <w:t>Four-column metadata table with response in last column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Domain</w:t>
            </w:r>
          </w:p>
        </w:tc>
        <w:tc>
          <w:tcPr>
            <w:tcW w:type="dxa" w:w="2520"/>
          </w:tcPr>
          <w:p>
            <w:r>
              <w:t>Ref</w:t>
            </w:r>
          </w:p>
        </w:tc>
        <w:tc>
          <w:tcPr>
            <w:tcW w:type="dxa" w:w="2520"/>
          </w:tcPr>
          <w:p>
            <w:r>
              <w:t>Question</w:t>
            </w:r>
          </w:p>
        </w:tc>
        <w:tc>
          <w:tcPr>
            <w:tcW w:type="dxa" w:w="2520"/>
          </w:tcPr>
          <w:p>
            <w:r>
              <w:t>Response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Privacy</w:t>
            </w:r>
          </w:p>
        </w:tc>
        <w:tc>
          <w:tcPr>
            <w:tcW w:type="dxa" w:w="2520"/>
          </w:tcPr>
          <w:p>
            <w:r>
              <w:t>R01</w:t>
            </w:r>
          </w:p>
        </w:tc>
        <w:tc>
          <w:tcPr>
            <w:tcW w:type="dxa" w:w="2520"/>
          </w:tcPr>
          <w:p>
            <w:r>
              <w:t>Describe your personal data retention policy.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Privacy</w:t>
            </w:r>
          </w:p>
        </w:tc>
        <w:tc>
          <w:tcPr>
            <w:tcW w:type="dxa" w:w="2520"/>
          </w:tcPr>
          <w:p>
            <w:r>
              <w:t>R02</w:t>
            </w:r>
          </w:p>
        </w:tc>
        <w:tc>
          <w:tcPr>
            <w:tcW w:type="dxa" w:w="2520"/>
          </w:tcPr>
          <w:p>
            <w:r>
              <w:t>How do you respond to data subject access requests?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Privacy</w:t>
            </w:r>
          </w:p>
        </w:tc>
        <w:tc>
          <w:tcPr>
            <w:tcW w:type="dxa" w:w="2520"/>
          </w:tcPr>
          <w:p>
            <w:r>
              <w:t>R03</w:t>
            </w:r>
          </w:p>
        </w:tc>
        <w:tc>
          <w:tcPr>
            <w:tcW w:type="dxa" w:w="2520"/>
          </w:tcPr>
          <w:p>
            <w:r>
              <w:t>Describe your lawful basis review process for processing personal data.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Privacy</w:t>
            </w:r>
          </w:p>
        </w:tc>
        <w:tc>
          <w:tcPr>
            <w:tcW w:type="dxa" w:w="2520"/>
          </w:tcPr>
          <w:p>
            <w:r>
              <w:t>R04</w:t>
            </w:r>
          </w:p>
        </w:tc>
        <w:tc>
          <w:tcPr>
            <w:tcW w:type="dxa" w:w="2520"/>
          </w:tcPr>
          <w:p>
            <w:r>
              <w:t>How do you manage subprocessors that access customer data?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Privacy</w:t>
            </w:r>
          </w:p>
        </w:tc>
        <w:tc>
          <w:tcPr>
            <w:tcW w:type="dxa" w:w="2520"/>
          </w:tcPr>
          <w:p>
            <w:r>
              <w:t>R05</w:t>
            </w:r>
          </w:p>
        </w:tc>
        <w:tc>
          <w:tcPr>
            <w:tcW w:type="dxa" w:w="2520"/>
          </w:tcPr>
          <w:p>
            <w:r>
              <w:t>Describe your deletion workflow for customer records.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Privacy</w:t>
            </w:r>
          </w:p>
        </w:tc>
        <w:tc>
          <w:tcPr>
            <w:tcW w:type="dxa" w:w="2520"/>
          </w:tcPr>
          <w:p>
            <w:r>
              <w:t>R06</w:t>
            </w:r>
          </w:p>
        </w:tc>
        <w:tc>
          <w:tcPr>
            <w:tcW w:type="dxa" w:w="2520"/>
          </w:tcPr>
          <w:p>
            <w:r>
              <w:t>How do you monitor compliance with privacy obligations?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