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Privacy Test Layout 17</w:t>
      </w:r>
    </w:p>
    <w:p>
      <w:pPr>
        <w:jc w:val="center"/>
      </w:pPr>
      <w:r>
        <w:rPr>
          <w:i/>
          <w:sz w:val="18"/>
        </w:rPr>
        <w:t>Merged full-width question row with answer row below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personal data retention policy.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respond to data subject access requests?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lawful basis review process for processing personal data.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manage subprocessors that access customer data?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Describe your deletion workflow for customer records.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490" w:hRule="atLeast"/>
        </w:trPr>
        <w:tc>
          <w:tcPr>
            <w:tcW w:type="dxa" w:w="10080"/>
            <w:gridSpan w:val="3"/>
          </w:tcPr>
          <w:p>
            <w:r>
              <w:t>How do you monitor compliance with privacy obligations?</w:t>
            </w:r>
          </w:p>
        </w:tc>
      </w:tr>
      <w:tr>
        <w:trPr>
          <w:trHeight w:val="835" w:hRule="atLeast"/>
        </w:trPr>
        <w:tc>
          <w:tcPr>
            <w:tcW w:type="dxa" w:w="10080"/>
            <w:gridSpan w:val="3"/>
          </w:tcPr>
          <w:p>
            <w:r>
              <w:t xml:space="preserve"> 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