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18</w:t>
      </w:r>
    </w:p>
    <w:p>
      <w:pPr>
        <w:jc w:val="center"/>
      </w:pPr>
      <w:r>
        <w:rPr>
          <w:i/>
          <w:sz w:val="18"/>
        </w:rPr>
        <w:t>Sectioned merged row-block questionnaire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Program Overview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personal data retention policy.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respond to data subject access requests?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Operational Controls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lawful basis review process for processing personal data.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subprocessors that access customer data?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Testing And Assurance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deletion workflow for customer records.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monitor compliance with privacy obligations?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