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Privacy Test Layout 20</w:t>
      </w:r>
    </w:p>
    <w:p>
      <w:pPr>
        <w:jc w:val="center"/>
      </w:pPr>
      <w:r>
        <w:rPr>
          <w:i/>
          <w:sz w:val="18"/>
        </w:rPr>
        <w:t>Mixed table, paragraph, and row-block layout · Questions only with blank answer spaces</w:t>
      </w:r>
    </w:p>
    <w:p>
      <w:r>
        <w:t xml:space="preserve"> </w:t>
      </w:r>
    </w:p>
    <w:p>
      <w:pPr>
        <w:pStyle w:val="Heading1"/>
      </w:pPr>
      <w:r>
        <w:t>Privacy Mixed Format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605" w:hRule="atLeast"/>
        </w:trPr>
        <w:tc>
          <w:tcPr>
            <w:tcW w:type="dxa" w:w="5040"/>
          </w:tcPr>
          <w:p>
            <w:r>
              <w:t>Legal Entity Name: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040"/>
          </w:tcPr>
          <w:p>
            <w:r>
              <w:t>Privacy Contact Name: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040"/>
          </w:tcPr>
          <w:p>
            <w:r>
              <w:t>Privacy Contact Email: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</w:tbl>
    <w:p>
      <w:r>
        <w:t xml:space="preserve"> </w:t>
      </w:r>
    </w:p>
    <w:p>
      <w:r>
        <w:t>1. Describe your personal data retention policy.</w:t>
      </w:r>
    </w:p>
    <w:p>
      <w:pPr>
        <w:spacing w:after="160"/>
      </w:pPr>
      <w:r>
        <w:t xml:space="preserve"> </w:t>
      </w:r>
    </w:p>
    <w:p>
      <w:r>
        <w:t>2. How do you respond to data subject access requests?</w:t>
      </w:r>
    </w:p>
    <w:p>
      <w:pPr>
        <w:spacing w:after="160"/>
      </w:pPr>
      <w:r>
        <w:t xml:space="preserve"> 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lawful basis review process for processing personal data.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manage subprocessors that access customer data?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deletion workflow for customer records.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monitor compliance with privacy obligations?</w:t>
            </w:r>
          </w:p>
        </w:tc>
      </w:tr>
      <w:tr>
        <w:trPr>
          <w:trHeight w:val="749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