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Test Layout 21</w:t>
      </w:r>
    </w:p>
    <w:p>
      <w:pPr>
        <w:jc w:val="center"/>
      </w:pPr>
      <w:r>
        <w:rPr>
          <w:i/>
          <w:sz w:val="18"/>
        </w:rPr>
        <w:t>Basic two-column table · Questions only with blank answer spaces</w:t>
      </w:r>
    </w:p>
    <w:p>
      <w:r>
        <w:t xml:space="preserve"> </w:t>
      </w:r>
    </w:p>
    <w:p>
      <w:pPr>
        <w:pStyle w:val="Heading1"/>
      </w:pPr>
      <w:r>
        <w:t>Operations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691" w:hRule="atLeast"/>
        </w:trPr>
        <w:tc>
          <w:tcPr>
            <w:tcW w:type="dxa" w:w="5040"/>
          </w:tcPr>
          <w:p>
            <w:r>
              <w:t>Describe your change management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manage production deployments?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Describe your service monitoring approach.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track and resolve service incidents?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Describe your backup verification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manage access for third-party support personnel?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