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23</w:t>
      </w:r>
    </w:p>
    <w:p>
      <w:pPr>
        <w:jc w:val="center"/>
      </w:pPr>
      <w:r>
        <w:rPr>
          <w:i/>
          <w:sz w:val="18"/>
        </w:rPr>
        <w:t>Multiple two-column tables split by sections · Questions only with blank answer spaces</w:t>
      </w:r>
    </w:p>
    <w:p>
      <w:r>
        <w:t xml:space="preserve"> </w:t>
      </w:r>
    </w:p>
    <w:p>
      <w:pPr>
        <w:pStyle w:val="Heading2"/>
      </w:pPr>
      <w: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change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manage production deployments?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service monitoring approach.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track and resolve service incidents?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2"/>
      </w:pPr>
      <w:r>
        <w:t>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720" w:hRule="atLeast"/>
        </w:trPr>
        <w:tc>
          <w:tcPr>
            <w:tcW w:type="dxa" w:w="5040"/>
          </w:tcPr>
          <w:p>
            <w:r>
              <w:t>Describe your backup verification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5040"/>
          </w:tcPr>
          <w:p>
            <w:r>
              <w:t>How do you manage access for third-party support personnel?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