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24</w:t>
      </w:r>
    </w:p>
    <w:p>
      <w:pPr>
        <w:jc w:val="center"/>
      </w:pPr>
      <w:r>
        <w:rPr>
          <w:i/>
          <w:sz w:val="18"/>
        </w:rPr>
        <w:t>Compact strict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Operations Control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547" w:hRule="atLeast"/>
        </w:trPr>
        <w:tc>
          <w:tcPr>
            <w:tcW w:type="dxa" w:w="5040"/>
          </w:tcPr>
          <w:p>
            <w:r>
              <w:t>Describe your change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manage production deployments?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service monitoring approach.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track and resolve service incidents?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backup verification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manage access for third-party support personnel?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