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25</w:t>
      </w:r>
    </w:p>
    <w:p>
      <w:pPr>
        <w:jc w:val="center"/>
      </w:pPr>
      <w:r>
        <w:rPr>
          <w:i/>
          <w:sz w:val="18"/>
        </w:rPr>
        <w:t>Three-column table with question in middle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Response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OPE-01</w:t>
            </w:r>
          </w:p>
        </w:tc>
        <w:tc>
          <w:tcPr>
            <w:tcW w:type="dxa" w:w="3360"/>
          </w:tcPr>
          <w:p>
            <w:r>
              <w:t>Describe your change management process.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OPE-02</w:t>
            </w:r>
          </w:p>
        </w:tc>
        <w:tc>
          <w:tcPr>
            <w:tcW w:type="dxa" w:w="3360"/>
          </w:tcPr>
          <w:p>
            <w:r>
              <w:t>How do you manage production deployments?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OPE-03</w:t>
            </w:r>
          </w:p>
        </w:tc>
        <w:tc>
          <w:tcPr>
            <w:tcW w:type="dxa" w:w="3360"/>
          </w:tcPr>
          <w:p>
            <w:r>
              <w:t>Describe your service monitoring approach.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OPE-04</w:t>
            </w:r>
          </w:p>
        </w:tc>
        <w:tc>
          <w:tcPr>
            <w:tcW w:type="dxa" w:w="3360"/>
          </w:tcPr>
          <w:p>
            <w:r>
              <w:t>How do you track and resolve service incidents?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OPE-05</w:t>
            </w:r>
          </w:p>
        </w:tc>
        <w:tc>
          <w:tcPr>
            <w:tcW w:type="dxa" w:w="3360"/>
          </w:tcPr>
          <w:p>
            <w:r>
              <w:t>Describe your backup verification process.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OPE-06</w:t>
            </w:r>
          </w:p>
        </w:tc>
        <w:tc>
          <w:tcPr>
            <w:tcW w:type="dxa" w:w="3360"/>
          </w:tcPr>
          <w:p>
            <w:r>
              <w:t>How do you manage access for third-party support personnel?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