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30</w:t>
      </w:r>
    </w:p>
    <w:p>
      <w:pPr>
        <w:jc w:val="center"/>
      </w:pPr>
      <w:r>
        <w:rPr>
          <w:i/>
          <w:sz w:val="18"/>
        </w:rPr>
        <w:t>Mixed table, paragraph, and row-block layout · Questions only with blank answer spaces</w:t>
      </w:r>
    </w:p>
    <w:p>
      <w:r>
        <w:t xml:space="preserve"> </w:t>
      </w:r>
    </w:p>
    <w:p>
      <w:pPr>
        <w:pStyle w:val="Heading1"/>
      </w:pPr>
      <w:r>
        <w:t>Operations Mixed Format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05" w:hRule="atLeast"/>
        </w:trPr>
        <w:tc>
          <w:tcPr>
            <w:tcW w:type="dxa" w:w="5040"/>
          </w:tcPr>
          <w:p>
            <w:r>
              <w:t>Operating Entity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Operations Contact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Operations Contact Email: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>1. Describe your change management process.</w:t>
      </w:r>
    </w:p>
    <w:p>
      <w:pPr>
        <w:spacing w:after="160"/>
      </w:pPr>
      <w:r>
        <w:t xml:space="preserve"> </w:t>
      </w:r>
    </w:p>
    <w:p>
      <w:r>
        <w:t>2. How do you manage production deployments?</w:t>
      </w:r>
    </w:p>
    <w:p>
      <w:pPr>
        <w:spacing w:after="160"/>
      </w:pPr>
      <w:r>
        <w:t xml:space="preserve"> 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service monitoring approach.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track and resolve service incidents?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backup verification process.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access for third-party support personnel?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