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32</w:t>
      </w:r>
    </w:p>
    <w:p>
      <w:pPr>
        <w:jc w:val="center"/>
      </w:pPr>
      <w:r>
        <w:rPr>
          <w:i/>
          <w:sz w:val="18"/>
        </w:rPr>
        <w:t>Two-column table with header row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32" w:hRule="atLeast"/>
        </w:trP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disaster recovery plan.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test business continuity procedures?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recovery time and recovery point objectives.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ensure availability during infrastructure failures?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crisis communication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restore critical services after a disruptive event?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