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Continuity Test Layout 33</w:t>
      </w:r>
    </w:p>
    <w:p>
      <w:pPr>
        <w:jc w:val="center"/>
      </w:pPr>
      <w:r>
        <w:rPr>
          <w:i/>
          <w:sz w:val="18"/>
        </w:rPr>
        <w:t>Multiple two-column tables split by sections · Questions only with blank answer spaces</w:t>
      </w:r>
    </w:p>
    <w:p>
      <w:r>
        <w:t xml:space="preserve"> </w:t>
      </w:r>
    </w:p>
    <w:p>
      <w:pPr>
        <w:pStyle w:val="Heading2"/>
      </w:pPr>
      <w:r>
        <w:t>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disaster recovery plan.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test business continuity procedures?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2"/>
      </w:pPr>
      <w:r>
        <w:t>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recovery time and recovery point objectives.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ensure availability during infrastructure failures?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2"/>
      </w:pPr>
      <w:r>
        <w:t>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crisis communication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restore critical services after a disruptive event?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