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Vendor Management Test Layout 42</w:t>
      </w:r>
    </w:p>
    <w:p>
      <w:pPr>
        <w:jc w:val="center"/>
      </w:pPr>
      <w:r>
        <w:rPr>
          <w:i/>
          <w:sz w:val="18"/>
        </w:rPr>
        <w:t>Two-column table with header row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432" w:hRule="atLeast"/>
        </w:trPr>
        <w:tc>
          <w:tcPr>
            <w:tcW w:type="dxa" w:w="5040"/>
          </w:tcPr>
          <w:p>
            <w:r>
              <w:t>Question</w:t>
            </w:r>
          </w:p>
        </w:tc>
        <w:tc>
          <w:tcPr>
            <w:tcW w:type="dxa" w:w="5040"/>
          </w:tcPr>
          <w:p>
            <w:r>
              <w:t>Response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Describe your third-party risk management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How do you review and onboard critical vendors?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Describe your vendor contract security review workflow.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How do you monitor vendor performance and compliance?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Describe your offboarding process for third-party service providers.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How do you assess vendor incidents that affect customer services?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