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Management Test Layout 46</w:t>
      </w:r>
    </w:p>
    <w:p>
      <w:pPr>
        <w:jc w:val="center"/>
      </w:pPr>
      <w:r>
        <w:rPr>
          <w:i/>
          <w:sz w:val="18"/>
        </w:rPr>
        <w:t>Four-column metadata table with response in last column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Domain</w:t>
            </w:r>
          </w:p>
        </w:tc>
        <w:tc>
          <w:tcPr>
            <w:tcW w:type="dxa" w:w="2520"/>
          </w:tcPr>
          <w:p>
            <w:r>
              <w:t>Ref</w:t>
            </w:r>
          </w:p>
        </w:tc>
        <w:tc>
          <w:tcPr>
            <w:tcW w:type="dxa" w:w="2520"/>
          </w:tcPr>
          <w:p>
            <w:r>
              <w:t>Question</w:t>
            </w:r>
          </w:p>
        </w:tc>
        <w:tc>
          <w:tcPr>
            <w:tcW w:type="dxa" w:w="2520"/>
          </w:tcPr>
          <w:p>
            <w:r>
              <w:t>Response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Vendor Management</w:t>
            </w:r>
          </w:p>
        </w:tc>
        <w:tc>
          <w:tcPr>
            <w:tcW w:type="dxa" w:w="2520"/>
          </w:tcPr>
          <w:p>
            <w:r>
              <w:t>R01</w:t>
            </w:r>
          </w:p>
        </w:tc>
        <w:tc>
          <w:tcPr>
            <w:tcW w:type="dxa" w:w="2520"/>
          </w:tcPr>
          <w:p>
            <w:r>
              <w:t>Describe your third-party risk management process.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Vendor Management</w:t>
            </w:r>
          </w:p>
        </w:tc>
        <w:tc>
          <w:tcPr>
            <w:tcW w:type="dxa" w:w="2520"/>
          </w:tcPr>
          <w:p>
            <w:r>
              <w:t>R02</w:t>
            </w:r>
          </w:p>
        </w:tc>
        <w:tc>
          <w:tcPr>
            <w:tcW w:type="dxa" w:w="2520"/>
          </w:tcPr>
          <w:p>
            <w:r>
              <w:t>How do you review and onboard critical vendors?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Vendor Management</w:t>
            </w:r>
          </w:p>
        </w:tc>
        <w:tc>
          <w:tcPr>
            <w:tcW w:type="dxa" w:w="2520"/>
          </w:tcPr>
          <w:p>
            <w:r>
              <w:t>R03</w:t>
            </w:r>
          </w:p>
        </w:tc>
        <w:tc>
          <w:tcPr>
            <w:tcW w:type="dxa" w:w="2520"/>
          </w:tcPr>
          <w:p>
            <w:r>
              <w:t>Describe your vendor contract security review workflow.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Vendor Management</w:t>
            </w:r>
          </w:p>
        </w:tc>
        <w:tc>
          <w:tcPr>
            <w:tcW w:type="dxa" w:w="2520"/>
          </w:tcPr>
          <w:p>
            <w:r>
              <w:t>R04</w:t>
            </w:r>
          </w:p>
        </w:tc>
        <w:tc>
          <w:tcPr>
            <w:tcW w:type="dxa" w:w="2520"/>
          </w:tcPr>
          <w:p>
            <w:r>
              <w:t>How do you monitor vendor performance and compliance?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Vendor Management</w:t>
            </w:r>
          </w:p>
        </w:tc>
        <w:tc>
          <w:tcPr>
            <w:tcW w:type="dxa" w:w="2520"/>
          </w:tcPr>
          <w:p>
            <w:r>
              <w:t>R05</w:t>
            </w:r>
          </w:p>
        </w:tc>
        <w:tc>
          <w:tcPr>
            <w:tcW w:type="dxa" w:w="2520"/>
          </w:tcPr>
          <w:p>
            <w:r>
              <w:t>Describe your offboarding process for third-party service providers.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Vendor Management</w:t>
            </w:r>
          </w:p>
        </w:tc>
        <w:tc>
          <w:tcPr>
            <w:tcW w:type="dxa" w:w="2520"/>
          </w:tcPr>
          <w:p>
            <w:r>
              <w:t>R06</w:t>
            </w:r>
          </w:p>
        </w:tc>
        <w:tc>
          <w:tcPr>
            <w:tcW w:type="dxa" w:w="2520"/>
          </w:tcPr>
          <w:p>
            <w:r>
              <w:t>How do you assess vendor incidents that affect customer services?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