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Describe your personal data retention policy.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use cookies or similar tracking technologies on customer-facing sites?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respond to data subject access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consent records for marketing communications?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lawful basis review process for processing personal data.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process for handling cross-border transfer impact assessments.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