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Describe your deletion workflow for customer records.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process for handling cross-border transfer impact assessments.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monitor compliance with privacy obligations?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support browser-based opt-out signals?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personal data retention policy.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respond to data subject access requests?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