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manage subprocessors that access customer data?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use cookies or similar tracking technologies on customer-facing sites?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deletion workflow for customer records.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manage consent records for marketing communications?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monitor compliance with privacy obligations?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process for handling cross-border transfer impact assessments.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