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Privacy Stress Test Questionnaire</w:t>
      </w:r>
    </w:p>
    <w:p>
      <w:pPr>
        <w:pStyle w:val="IntenseQuote"/>
      </w:pPr>
      <w:r>
        <w:t>This document intentionally mixes prompts that exist in the sample knowledge base with prompts that do not.</w:t>
      </w:r>
    </w:p>
    <w:p>
      <w:r>
        <w:t>1. How do you respond to data subject access requests?</w:t>
      </w:r>
    </w:p>
    <w:p/>
    <w:p>
      <w:r>
        <w:t>2. Describe your process for handling cross-border transfer impact assessments.</w:t>
      </w:r>
    </w:p>
    <w:p/>
    <w:p>
      <w:r>
        <w:t>3. Describe your lawful basis review process for processing personal data.</w:t>
      </w:r>
    </w:p>
    <w:p/>
    <w:p>
      <w:r>
        <w:t>4. Do you support browser-based opt-out signals?</w:t>
      </w:r>
    </w:p>
    <w:p/>
    <w:p>
      <w:r>
        <w:t>5. How do you review new AI features for privacy impact?</w:t>
      </w:r>
    </w:p>
    <w:p/>
    <w:p>
      <w:r>
        <w:t>6. Describe your process for managing children's data.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