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Describe your recovery time and recovery point objectives.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backup communication channels for crisis coordination?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ensure availability during infrastructure failures?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assess regional concentration risk for critical services?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crisis communication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alternate workspace arrangements for office disruptions?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