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Continuity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Domain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Response</w:t>
            </w:r>
          </w:p>
        </w:tc>
      </w:tr>
      <w:tr>
        <w:tc>
          <w:tcPr>
            <w:tcW w:type="dxa" w:w="2880"/>
          </w:tcPr>
          <w:p>
            <w:r>
              <w:t>Business Continuity</w:t>
            </w:r>
          </w:p>
        </w:tc>
        <w:tc>
          <w:tcPr>
            <w:tcW w:type="dxa" w:w="2880"/>
          </w:tcPr>
          <w:p>
            <w:r>
              <w:t>Continuity Contact Name: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Business Continuity</w:t>
            </w:r>
          </w:p>
        </w:tc>
        <w:tc>
          <w:tcPr>
            <w:tcW w:type="dxa" w:w="2880"/>
          </w:tcPr>
          <w:p>
            <w:r>
              <w:t>Describe your crisis communication process.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Business Continuity</w:t>
            </w:r>
          </w:p>
        </w:tc>
        <w:tc>
          <w:tcPr>
            <w:tcW w:type="dxa" w:w="2880"/>
          </w:tcPr>
          <w:p>
            <w:r>
              <w:t>Describe your supply chain contingency planning process.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Business Continuity</w:t>
            </w:r>
          </w:p>
        </w:tc>
        <w:tc>
          <w:tcPr>
            <w:tcW w:type="dxa" w:w="2880"/>
          </w:tcPr>
          <w:p>
            <w:r>
              <w:t>How do you restore critical services after a disruptive event?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Business Continuity</w:t>
            </w:r>
          </w:p>
        </w:tc>
        <w:tc>
          <w:tcPr>
            <w:tcW w:type="dxa" w:w="2880"/>
          </w:tcPr>
          <w:p>
            <w:r>
              <w:t>How frequently do you validate emergency contact trees?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Business Continuity</w:t>
            </w:r>
          </w:p>
        </w:tc>
        <w:tc>
          <w:tcPr>
            <w:tcW w:type="dxa" w:w="2880"/>
          </w:tcPr>
          <w:p>
            <w:r>
              <w:t>Describe your disaster recovery plan.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