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CON-01</w:t>
            </w:r>
          </w:p>
        </w:tc>
        <w:tc>
          <w:tcPr>
            <w:tcW w:type="dxa" w:w="2160"/>
          </w:tcPr>
          <w:p>
            <w:r>
              <w:t>Continuity Contact Email: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CON-02</w:t>
            </w:r>
          </w:p>
        </w:tc>
        <w:tc>
          <w:tcPr>
            <w:tcW w:type="dxa" w:w="2160"/>
          </w:tcPr>
          <w:p>
            <w:r>
              <w:t>How do you restore critical services after a disruptive event?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CON-03</w:t>
            </w:r>
          </w:p>
        </w:tc>
        <w:tc>
          <w:tcPr>
            <w:tcW w:type="dxa" w:w="2160"/>
          </w:tcPr>
          <w:p>
            <w:r>
              <w:t>Alternate Site Coordinator: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CON-04</w:t>
            </w:r>
          </w:p>
        </w:tc>
        <w:tc>
          <w:tcPr>
            <w:tcW w:type="dxa" w:w="2160"/>
          </w:tcPr>
          <w:p>
            <w:r>
              <w:t>Do you maintain backup communication channels for crisis coordination?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CON-05</w:t>
            </w:r>
          </w:p>
        </w:tc>
        <w:tc>
          <w:tcPr>
            <w:tcW w:type="dxa" w:w="2160"/>
          </w:tcPr>
          <w:p>
            <w:r>
              <w:t>Describe your disaster recovery plan.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CON-06</w:t>
            </w:r>
          </w:p>
        </w:tc>
        <w:tc>
          <w:tcPr>
            <w:tcW w:type="dxa" w:w="2160"/>
          </w:tcPr>
          <w:p>
            <w:r>
              <w:t>How do you assess regional concentration risk for critical services?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CON-07</w:t>
            </w:r>
          </w:p>
        </w:tc>
        <w:tc>
          <w:tcPr>
            <w:tcW w:type="dxa" w:w="2160"/>
          </w:tcPr>
          <w:p>
            <w:r>
              <w:t>Do you maintain alternate workspace arrangements for office disruptions?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